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3C1D89" w14:textId="2C1AF8ED" w:rsidR="008B6C73" w:rsidRDefault="008B6C73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B6C73" w14:paraId="2BBA08B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50" w:type="dxa"/>
              <w:left w:w="160" w:type="dxa"/>
              <w:bottom w:w="20" w:type="dxa"/>
              <w:right w:w="160" w:type="dxa"/>
            </w:tcMar>
          </w:tcPr>
          <w:p w14:paraId="5745CC43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BBCFCC"/>
                <w:sz w:val="13"/>
                <w:szCs w:val="13"/>
              </w:rPr>
              <w:t xml:space="preserve">PATHWAY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BBCFCC"/>
                <w:sz w:val="13"/>
                <w:szCs w:val="13"/>
              </w:rPr>
              <w:t>1.1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BBCFCC"/>
                <w:sz w:val="13"/>
                <w:szCs w:val="13"/>
              </w:rPr>
              <w:t xml:space="preserve">  UNIVERSAL PATHWAY — DIGITAL NAVIGATION &amp; APPLICATION SIMPLIFICATION</w:t>
            </w:r>
          </w:p>
        </w:tc>
      </w:tr>
      <w:tr w:rsidR="008B6C73" w14:paraId="242046D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20" w:type="dxa"/>
              <w:left w:w="160" w:type="dxa"/>
              <w:bottom w:w="10" w:type="dxa"/>
              <w:right w:w="160" w:type="dxa"/>
            </w:tcMar>
          </w:tcPr>
          <w:p w14:paraId="1AED7EA5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46"/>
                <w:szCs w:val="46"/>
              </w:rPr>
              <w:t>ACCESS NYC + ACCESS HRA</w:t>
            </w:r>
          </w:p>
        </w:tc>
      </w:tr>
      <w:tr w:rsidR="008B6C73" w14:paraId="7E250C9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5C"/>
            <w:tcMar>
              <w:top w:w="4" w:type="dxa"/>
              <w:left w:w="160" w:type="dxa"/>
              <w:bottom w:w="4" w:type="dxa"/>
              <w:right w:w="160" w:type="dxa"/>
            </w:tcMar>
          </w:tcPr>
          <w:p w14:paraId="0549E00D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NYC Dept. of Social Services /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>HRA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 Mayor's Office of Economic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>Opportunity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8F0ED"/>
                <w:sz w:val="16"/>
                <w:szCs w:val="16"/>
              </w:rPr>
              <w:t xml:space="preserve">  New York City, NY</w:t>
            </w:r>
          </w:p>
        </w:tc>
      </w:tr>
      <w:tr w:rsidR="008B6C73" w14:paraId="72E83AB2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63151"/>
            <w:tcMar>
              <w:top w:w="40" w:type="dxa"/>
              <w:left w:w="160" w:type="dxa"/>
              <w:bottom w:w="40" w:type="dxa"/>
              <w:right w:w="160" w:type="dxa"/>
            </w:tcMar>
          </w:tcPr>
          <w:p w14:paraId="6E5FF934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AACFE8"/>
                <w:sz w:val="15"/>
                <w:szCs w:val="15"/>
              </w:rPr>
              <w:t xml:space="preserve">70+ Programs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AACFE8"/>
                <w:sz w:val="15"/>
                <w:szCs w:val="15"/>
              </w:rPr>
              <w:t>Screened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AACFE8"/>
                <w:sz w:val="15"/>
                <w:szCs w:val="15"/>
              </w:rPr>
              <w:t xml:space="preserve">  290,000+ Annual Screener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AACFE8"/>
                <w:sz w:val="15"/>
                <w:szCs w:val="15"/>
              </w:rPr>
              <w:t>Starts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AACFE8"/>
                <w:sz w:val="15"/>
                <w:szCs w:val="15"/>
              </w:rPr>
              <w:t xml:space="preserve">  79% PEU Completion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AACFE8"/>
                <w:sz w:val="15"/>
                <w:szCs w:val="15"/>
              </w:rPr>
              <w:t>Rate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AACFE8"/>
                <w:sz w:val="15"/>
                <w:szCs w:val="15"/>
              </w:rPr>
              <w:t xml:space="preserve">  No State Legislation Required</w:t>
            </w:r>
          </w:p>
        </w:tc>
      </w:tr>
    </w:tbl>
    <w:p w14:paraId="7B63F73A" w14:textId="77777777" w:rsidR="008B6C73" w:rsidRDefault="008B6C73">
      <w:pPr>
        <w:spacing w:after="3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3640B99E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071D1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22EB419C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WHAT IS IT?</w:t>
            </w:r>
          </w:p>
        </w:tc>
      </w:tr>
    </w:tbl>
    <w:p w14:paraId="6C1DA1DC" w14:textId="77777777" w:rsidR="008B6C73" w:rsidRDefault="008B6C73">
      <w:pPr>
        <w:spacing w:after="25"/>
      </w:pPr>
    </w:p>
    <w:p w14:paraId="47D76F5B" w14:textId="77777777" w:rsidR="008B6C73" w:rsidRDefault="00000000">
      <w:r>
        <w:rPr>
          <w:rFonts w:ascii="Calibri" w:eastAsia="Calibri" w:hAnsi="Calibri" w:cs="Calibri"/>
          <w:color w:val="1A1A1A"/>
          <w:sz w:val="16"/>
          <w:szCs w:val="16"/>
        </w:rPr>
        <w:t xml:space="preserve">ACCESS NYC is New York City's screening front door to 70+ city benefit programs. Residents enter their household size, income, and immigration category into a rules-based eligibility engine that identifies which programs they likely qualify for — in a single, mobile-friendly session. ACCESS HRA is the transaction portal where </w:t>
      </w:r>
      <w:proofErr w:type="gramStart"/>
      <w:r>
        <w:rPr>
          <w:rFonts w:ascii="Calibri" w:eastAsia="Calibri" w:hAnsi="Calibri" w:cs="Calibri"/>
          <w:color w:val="1A1A1A"/>
          <w:sz w:val="16"/>
          <w:szCs w:val="16"/>
        </w:rPr>
        <w:t>residents</w:t>
      </w:r>
      <w:proofErr w:type="gramEnd"/>
      <w:r>
        <w:rPr>
          <w:rFonts w:ascii="Calibri" w:eastAsia="Calibri" w:hAnsi="Calibri" w:cs="Calibri"/>
          <w:color w:val="1A1A1A"/>
          <w:sz w:val="16"/>
          <w:szCs w:val="16"/>
        </w:rPr>
        <w:t xml:space="preserve"> complete applications for SNAP, cash assistance, Fair Fares, and other specific benefits, with in-app document upload reducing the need for in-person visits. Together, the two platforms are managed by the NYC Department of Social Services/HRA and the Mayor's Office of Economic Opportunity, in partnership with the Service Design Studio, the Office of Technology &amp; Innovation, Blue State Digital, AWS, and the Mayor's Public Engagement Unit. Funding is drawn from the NYC Opportunity Innovation Budget and the DSS/HRA operating budget rather than a standalone line item. Local Law 96 — which strengthened language access requirements — and mayoral directives on digital modernization created the institutional conditions for a unified, multilingual, mobile-friendly system. No state legislation was required.</w:t>
      </w:r>
    </w:p>
    <w:p w14:paraId="2ED7C868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3392A6D1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00929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78DC3964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EVIDENCE HIGHLIGHTS</w:t>
            </w:r>
          </w:p>
        </w:tc>
      </w:tr>
    </w:tbl>
    <w:p w14:paraId="1C167293" w14:textId="77777777" w:rsidR="008B6C73" w:rsidRDefault="008B6C73">
      <w:pPr>
        <w:spacing w:after="28"/>
      </w:pP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8765"/>
      </w:tblGrid>
      <w:tr w:rsidR="008B6C73" w14:paraId="41ACA8F7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DDEAF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36324B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Screener Starts</w:t>
            </w:r>
          </w:p>
        </w:tc>
        <w:tc>
          <w:tcPr>
            <w:tcW w:w="876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4E342643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290,000+ screener starts and 150,000+ completions in a recent 12-month period</w:t>
            </w:r>
          </w:p>
        </w:tc>
      </w:tr>
      <w:tr w:rsidR="008B6C73" w14:paraId="78001D8E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C9DCEF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7DAD04B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Completion Rate</w:t>
            </w:r>
          </w:p>
        </w:tc>
        <w:tc>
          <w:tcPr>
            <w:tcW w:w="876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40758871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79% screener completion rate for PEU-driven traffic — ~27 percentage points above the citywide average</w:t>
            </w:r>
          </w:p>
        </w:tc>
      </w:tr>
      <w:tr w:rsidR="008B6C73" w14:paraId="7D637BBC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DDEAF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7ACDDE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Outreach Conversion</w:t>
            </w:r>
          </w:p>
        </w:tc>
        <w:tc>
          <w:tcPr>
            <w:tcW w:w="876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7D388C18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45% conversion rate from outreach to full screening completion</w:t>
            </w:r>
          </w:p>
        </w:tc>
      </w:tr>
      <w:tr w:rsidR="008B6C73" w14:paraId="73AB1A63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C9DCEF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8EE7C9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Redesign Impact</w:t>
            </w:r>
          </w:p>
        </w:tc>
        <w:tc>
          <w:tcPr>
            <w:tcW w:w="876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415EFA0A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68% increase in completions following a major platform redesign</w:t>
            </w:r>
          </w:p>
        </w:tc>
      </w:tr>
      <w:tr w:rsidR="008B6C73" w14:paraId="6344EE79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DDEAF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20301E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Programs Covered</w:t>
            </w:r>
          </w:p>
        </w:tc>
        <w:tc>
          <w:tcPr>
            <w:tcW w:w="876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1BE2B4F5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70+ city benefit programs screened via rules-based eligibility engine (income, household size, immigration category)</w:t>
            </w:r>
          </w:p>
        </w:tc>
      </w:tr>
      <w:tr w:rsidR="008B6C73" w14:paraId="7B802295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C9DCEF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7D7F22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Eligibility Triggers</w:t>
            </w:r>
          </w:p>
        </w:tc>
        <w:tc>
          <w:tcPr>
            <w:tcW w:w="876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778319C2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ACCESS NYC screens at ≤150–200% FPL depending on program; ACCESS HRA applies program-specific rules (SNAP ≤130% FPL; Fair Fares ≤120% FPL)</w:t>
            </w:r>
          </w:p>
        </w:tc>
      </w:tr>
      <w:tr w:rsidR="008B6C73" w14:paraId="491BEE0C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DDEAF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BB98C0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Key Partners</w:t>
            </w:r>
          </w:p>
        </w:tc>
        <w:tc>
          <w:tcPr>
            <w:tcW w:w="876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20DFE9E0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NYC DSS/HRA, Mayor's Office of Economic Opportunity, Service Design Studio, OTI, Blue State Digital, AWS, Mayor's Public Engagement Unit</w:t>
            </w:r>
          </w:p>
        </w:tc>
      </w:tr>
      <w:tr w:rsidR="008B6C73" w14:paraId="41CAA837" w14:textId="77777777" w:rsidTr="003B232E">
        <w:tc>
          <w:tcPr>
            <w:tcW w:w="230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C9DCEF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881AA0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1B3A5C"/>
                <w:sz w:val="16"/>
                <w:szCs w:val="16"/>
              </w:rPr>
              <w:t>Funding</w:t>
            </w:r>
          </w:p>
        </w:tc>
        <w:tc>
          <w:tcPr>
            <w:tcW w:w="876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00" w:type="dxa"/>
            </w:tcMar>
          </w:tcPr>
          <w:p w14:paraId="337244EB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NYC Opportunity Innovation Budget and DSS/HRA operating budget; no standalone line item for the portals</w:t>
            </w:r>
          </w:p>
        </w:tc>
      </w:tr>
    </w:tbl>
    <w:p w14:paraId="16A40C57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38D275FC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A2E96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205A0730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HOW IT WORKS</w:t>
            </w:r>
          </w:p>
        </w:tc>
      </w:tr>
    </w:tbl>
    <w:p w14:paraId="7D050B33" w14:textId="77777777" w:rsidR="008B6C73" w:rsidRDefault="008B6C73">
      <w:pPr>
        <w:spacing w:after="28"/>
      </w:pP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5"/>
        <w:gridCol w:w="5760"/>
      </w:tblGrid>
      <w:tr w:rsidR="008B6C73" w14:paraId="48098303" w14:textId="77777777" w:rsidTr="003B232E">
        <w:tc>
          <w:tcPr>
            <w:tcW w:w="530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EDF4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458BAEBE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① ACCESS NYC — Eligibility Screening</w:t>
            </w:r>
          </w:p>
          <w:p w14:paraId="1ABB9BBF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Residents enter household size, income, and immigration category into a rules-based eligibility engine that screens for 70+ programs. The mobile-friendly interface uses progressive disclosure to reduce burden.</w:t>
            </w:r>
          </w:p>
        </w:tc>
        <w:tc>
          <w:tcPr>
            <w:tcW w:w="576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2A52B75E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② ACCESS HRA — Application Portal</w:t>
            </w:r>
          </w:p>
          <w:p w14:paraId="425167D7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Residents complete program-specific applications for SNAP, cash assistance, Fair Fares, and other benefits. In-app document upload reduces in-person visit requirements.</w:t>
            </w:r>
          </w:p>
        </w:tc>
      </w:tr>
      <w:tr w:rsidR="008B6C73" w14:paraId="4CBD8477" w14:textId="77777777" w:rsidTr="003B232E">
        <w:tc>
          <w:tcPr>
            <w:tcW w:w="530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2FF3F71D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③ Outreach &amp; Navigation via PEU</w:t>
            </w:r>
          </w:p>
          <w:p w14:paraId="3D5BD207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The Mayor's Public Engagement Unit drives residents to the portal through targeted outreach campaigns. PEU-driven traffic achieves a 79% screener completion rate — 27 points above average.</w:t>
            </w:r>
          </w:p>
        </w:tc>
        <w:tc>
          <w:tcPr>
            <w:tcW w:w="576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EDF4FC"/>
            <w:tcMar>
              <w:top w:w="60" w:type="dxa"/>
              <w:left w:w="110" w:type="dxa"/>
              <w:bottom w:w="65" w:type="dxa"/>
              <w:right w:w="110" w:type="dxa"/>
            </w:tcMar>
          </w:tcPr>
          <w:p w14:paraId="06951CC1" w14:textId="77777777" w:rsidR="008B6C73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④ Design, Engineering &amp; Language Access</w:t>
            </w:r>
          </w:p>
          <w:p w14:paraId="217CD329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The Service Design Studio and OTI built and maintain the platforms with usability and equity at the center. Local Law 96 mandates multilingual access across all supported languages.</w:t>
            </w:r>
          </w:p>
        </w:tc>
      </w:tr>
    </w:tbl>
    <w:p w14:paraId="1D8FA864" w14:textId="77777777" w:rsidR="008B6C73" w:rsidRDefault="008B6C73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9180"/>
      </w:tblGrid>
      <w:tr w:rsidR="008B6C73" w14:paraId="4B61B959" w14:textId="77777777">
        <w:tc>
          <w:tcPr>
            <w:tcW w:w="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BD208" w14:textId="77777777" w:rsidR="008B6C73" w:rsidRDefault="008B6C73"/>
        </w:tc>
        <w:tc>
          <w:tcPr>
            <w:tcW w:w="9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8" w:type="dxa"/>
              <w:left w:w="110" w:type="dxa"/>
              <w:bottom w:w="28" w:type="dxa"/>
              <w:right w:w="0" w:type="dxa"/>
            </w:tcMar>
          </w:tcPr>
          <w:p w14:paraId="30F53E3F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2C5F8A"/>
                <w:sz w:val="16"/>
                <w:szCs w:val="16"/>
              </w:rPr>
              <w:t>ENABLING CONDITIONS &amp; REPLICATION</w:t>
            </w:r>
          </w:p>
        </w:tc>
      </w:tr>
    </w:tbl>
    <w:p w14:paraId="7F106997" w14:textId="77777777" w:rsidR="008B6C73" w:rsidRDefault="008B6C73">
      <w:pPr>
        <w:spacing w:after="28"/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5"/>
        <w:gridCol w:w="6210"/>
      </w:tblGrid>
      <w:tr w:rsidR="008B6C73" w14:paraId="5666F14B" w14:textId="77777777" w:rsidTr="003B232E">
        <w:tc>
          <w:tcPr>
            <w:tcW w:w="503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2C5F8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3AFB307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What Made It Possible</w:t>
            </w:r>
          </w:p>
        </w:tc>
        <w:tc>
          <w:tcPr>
            <w:tcW w:w="621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2C5F8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673E00B" w14:textId="77777777" w:rsidR="008B6C73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Who Can Replicate This</w:t>
            </w:r>
          </w:p>
        </w:tc>
      </w:tr>
      <w:tr w:rsidR="008B6C73" w14:paraId="6AE5CA06" w14:textId="77777777" w:rsidTr="003B232E">
        <w:tc>
          <w:tcPr>
            <w:tcW w:w="503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643A848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NYC Opportunity provided funding and product ownership outside traditional agency procurement cycles</w:t>
            </w:r>
          </w:p>
        </w:tc>
        <w:tc>
          <w:tcPr>
            <w:tcW w:w="621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2C9BAA6C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with a civic innovation office can fund digital product development outside standard IT procurement</w:t>
            </w:r>
          </w:p>
        </w:tc>
      </w:tr>
      <w:tr w:rsidR="008B6C73" w14:paraId="09CDA823" w14:textId="77777777" w:rsidTr="003B232E">
        <w:tc>
          <w:tcPr>
            <w:tcW w:w="503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C842B63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Local Law 96 mandated multilingual access, requiring the platform to serve residents in multiple languages</w:t>
            </w:r>
          </w:p>
        </w:tc>
        <w:tc>
          <w:tcPr>
            <w:tcW w:w="621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5813B53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should pursue local legislation requiring language access in digital benefits systems</w:t>
            </w:r>
          </w:p>
        </w:tc>
      </w:tr>
      <w:tr w:rsidR="008B6C73" w14:paraId="3AFFCAF0" w14:textId="77777777" w:rsidTr="003B232E">
        <w:tc>
          <w:tcPr>
            <w:tcW w:w="503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31B7F70B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In-house tech and design capacity (Service Design Studio, OTI) enabled iterative, user-centered development</w:t>
            </w:r>
          </w:p>
        </w:tc>
        <w:tc>
          <w:tcPr>
            <w:tcW w:w="621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798D40E7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with in-house design capacity can iterate faster; others should partner with civic tech organizations</w:t>
            </w:r>
          </w:p>
        </w:tc>
      </w:tr>
      <w:tr w:rsidR="008B6C73" w14:paraId="0C380032" w14:textId="77777777" w:rsidTr="003B232E">
        <w:tc>
          <w:tcPr>
            <w:tcW w:w="503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2193E1F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Mayoral directives on digital modernization drove cross-agency coordination to unify platforms across DSS/HRA</w:t>
            </w:r>
          </w:p>
        </w:tc>
        <w:tc>
          <w:tcPr>
            <w:tcW w:w="621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1D70D214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need executive-level commitment to digital modernization to drive cross-agency data sharing</w:t>
            </w:r>
          </w:p>
        </w:tc>
      </w:tr>
      <w:tr w:rsidR="008B6C73" w14:paraId="5F7B0112" w14:textId="77777777" w:rsidTr="003B232E">
        <w:tc>
          <w:tcPr>
            <w:tcW w:w="503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5B6C27BF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PEU's outreach infrastructure demonstrated that assisted navigation dramatically increases completion rates</w:t>
            </w:r>
          </w:p>
        </w:tc>
        <w:tc>
          <w:tcPr>
            <w:tcW w:w="621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5F3DC352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should pair digital portals with dedicated outreach capacity — technology alone doesn't drive take-up</w:t>
            </w:r>
          </w:p>
        </w:tc>
      </w:tr>
      <w:tr w:rsidR="008B6C73" w14:paraId="01B7DA30" w14:textId="77777777" w:rsidTr="003B232E">
        <w:tc>
          <w:tcPr>
            <w:tcW w:w="5035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0CE4F90B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DSS/HRA's operating budget absorbed platform costs, enabling sustained investment</w:t>
            </w:r>
          </w:p>
        </w:tc>
        <w:tc>
          <w:tcPr>
            <w:tcW w:w="6210" w:type="dxa"/>
            <w:tcBorders>
              <w:top w:val="single" w:sz="4" w:space="0" w:color="C0D6EA"/>
              <w:left w:val="single" w:sz="4" w:space="0" w:color="C0D6EA"/>
              <w:bottom w:val="single" w:sz="4" w:space="0" w:color="C0D6EA"/>
              <w:right w:val="single" w:sz="4" w:space="0" w:color="C0D6EA"/>
            </w:tcBorders>
            <w:shd w:val="clear" w:color="auto" w:fill="F5F8FC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732C4E2" w14:textId="77777777" w:rsidR="008B6C73" w:rsidRDefault="00000000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Cities should embed digital navigation costs within large agency budgets rather than relying on time-limited grants</w:t>
            </w:r>
          </w:p>
        </w:tc>
      </w:tr>
    </w:tbl>
    <w:p w14:paraId="0FEE22FA" w14:textId="77777777" w:rsidR="008B6C73" w:rsidRDefault="008B6C73">
      <w:pPr>
        <w:spacing w:after="30"/>
      </w:pPr>
    </w:p>
    <w:sectPr w:rsidR="008B6C73">
      <w:pgSz w:w="12240" w:h="15840"/>
      <w:pgMar w:top="500" w:right="600" w:bottom="500" w:left="6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C87D26"/>
    <w:multiLevelType w:val="hybridMultilevel"/>
    <w:tmpl w:val="E0E8E45E"/>
    <w:lvl w:ilvl="0" w:tplc="88128A0C">
      <w:start w:val="1"/>
      <w:numFmt w:val="bullet"/>
      <w:lvlText w:val="●"/>
      <w:lvlJc w:val="left"/>
      <w:pPr>
        <w:ind w:left="720" w:hanging="360"/>
      </w:pPr>
    </w:lvl>
    <w:lvl w:ilvl="1" w:tplc="768A1AAC">
      <w:start w:val="1"/>
      <w:numFmt w:val="bullet"/>
      <w:lvlText w:val="○"/>
      <w:lvlJc w:val="left"/>
      <w:pPr>
        <w:ind w:left="1440" w:hanging="360"/>
      </w:pPr>
    </w:lvl>
    <w:lvl w:ilvl="2" w:tplc="B6D0F082">
      <w:start w:val="1"/>
      <w:numFmt w:val="bullet"/>
      <w:lvlText w:val="■"/>
      <w:lvlJc w:val="left"/>
      <w:pPr>
        <w:ind w:left="2160" w:hanging="360"/>
      </w:pPr>
    </w:lvl>
    <w:lvl w:ilvl="3" w:tplc="5DCE2D70">
      <w:start w:val="1"/>
      <w:numFmt w:val="bullet"/>
      <w:lvlText w:val="●"/>
      <w:lvlJc w:val="left"/>
      <w:pPr>
        <w:ind w:left="2880" w:hanging="360"/>
      </w:pPr>
    </w:lvl>
    <w:lvl w:ilvl="4" w:tplc="8AEE3AE0">
      <w:start w:val="1"/>
      <w:numFmt w:val="bullet"/>
      <w:lvlText w:val="○"/>
      <w:lvlJc w:val="left"/>
      <w:pPr>
        <w:ind w:left="3600" w:hanging="360"/>
      </w:pPr>
    </w:lvl>
    <w:lvl w:ilvl="5" w:tplc="07F21F5A">
      <w:start w:val="1"/>
      <w:numFmt w:val="bullet"/>
      <w:lvlText w:val="■"/>
      <w:lvlJc w:val="left"/>
      <w:pPr>
        <w:ind w:left="4320" w:hanging="360"/>
      </w:pPr>
    </w:lvl>
    <w:lvl w:ilvl="6" w:tplc="033EBC74">
      <w:start w:val="1"/>
      <w:numFmt w:val="bullet"/>
      <w:lvlText w:val="●"/>
      <w:lvlJc w:val="left"/>
      <w:pPr>
        <w:ind w:left="5040" w:hanging="360"/>
      </w:pPr>
    </w:lvl>
    <w:lvl w:ilvl="7" w:tplc="551EE14E">
      <w:start w:val="1"/>
      <w:numFmt w:val="bullet"/>
      <w:lvlText w:val="●"/>
      <w:lvlJc w:val="left"/>
      <w:pPr>
        <w:ind w:left="5760" w:hanging="360"/>
      </w:pPr>
    </w:lvl>
    <w:lvl w:ilvl="8" w:tplc="22A6AA80">
      <w:start w:val="1"/>
      <w:numFmt w:val="bullet"/>
      <w:lvlText w:val="●"/>
      <w:lvlJc w:val="left"/>
      <w:pPr>
        <w:ind w:left="6480" w:hanging="360"/>
      </w:pPr>
    </w:lvl>
  </w:abstractNum>
  <w:num w:numId="1" w16cid:durableId="12976872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C73"/>
    <w:rsid w:val="0005253A"/>
    <w:rsid w:val="000B5DC1"/>
    <w:rsid w:val="003B232E"/>
    <w:rsid w:val="003B72B5"/>
    <w:rsid w:val="003C03D3"/>
    <w:rsid w:val="005A46B9"/>
    <w:rsid w:val="00791327"/>
    <w:rsid w:val="008B6C73"/>
    <w:rsid w:val="00A71799"/>
    <w:rsid w:val="00D9295B"/>
    <w:rsid w:val="00DC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5C03BD"/>
  <w15:docId w15:val="{DF4EEE37-1579-7F42-99F4-150BE56A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nkd2128</cp:lastModifiedBy>
  <cp:revision>2</cp:revision>
  <dcterms:created xsi:type="dcterms:W3CDTF">2026-07-11T00:51:00Z</dcterms:created>
  <dcterms:modified xsi:type="dcterms:W3CDTF">2026-07-11T00:51:00Z</dcterms:modified>
</cp:coreProperties>
</file>