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2EE89C8" w14:textId="3638B202" w:rsidR="008B6C73" w:rsidRDefault="008B6C73"/>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8B6C73" w14:paraId="550F0BE2" w14:textId="77777777">
        <w:tc>
          <w:tcPr>
            <w:tcW w:w="0" w:type="auto"/>
            <w:tcBorders>
              <w:top w:val="none" w:sz="0" w:space="0" w:color="FFFFFF"/>
              <w:left w:val="none" w:sz="0" w:space="0" w:color="FFFFFF"/>
              <w:bottom w:val="none" w:sz="0" w:space="0" w:color="FFFFFF"/>
              <w:right w:val="none" w:sz="0" w:space="0" w:color="FFFFFF"/>
            </w:tcBorders>
            <w:shd w:val="clear" w:color="auto" w:fill="2E5D4B"/>
            <w:tcMar>
              <w:top w:w="50" w:type="dxa"/>
              <w:left w:w="160" w:type="dxa"/>
              <w:bottom w:w="20" w:type="dxa"/>
              <w:right w:w="160" w:type="dxa"/>
            </w:tcMar>
          </w:tcPr>
          <w:p w14:paraId="74289CAA" w14:textId="77777777" w:rsidR="008B6C73" w:rsidRDefault="00000000">
            <w:r>
              <w:rPr>
                <w:rFonts w:ascii="Calibri" w:eastAsia="Calibri" w:hAnsi="Calibri" w:cs="Calibri"/>
                <w:b/>
                <w:bCs/>
                <w:color w:val="BBCFCC"/>
                <w:sz w:val="13"/>
                <w:szCs w:val="13"/>
              </w:rPr>
              <w:t xml:space="preserve">PATHWAY </w:t>
            </w:r>
            <w:proofErr w:type="gramStart"/>
            <w:r>
              <w:rPr>
                <w:rFonts w:ascii="Calibri" w:eastAsia="Calibri" w:hAnsi="Calibri" w:cs="Calibri"/>
                <w:b/>
                <w:bCs/>
                <w:color w:val="BBCFCC"/>
                <w:sz w:val="13"/>
                <w:szCs w:val="13"/>
              </w:rPr>
              <w:t>2.1A  ·</w:t>
            </w:r>
            <w:proofErr w:type="gramEnd"/>
            <w:r>
              <w:rPr>
                <w:rFonts w:ascii="Calibri" w:eastAsia="Calibri" w:hAnsi="Calibri" w:cs="Calibri"/>
                <w:b/>
                <w:bCs/>
                <w:color w:val="BBCFCC"/>
                <w:sz w:val="13"/>
                <w:szCs w:val="13"/>
              </w:rPr>
              <w:t xml:space="preserve">  INTERMEDIATE PATHWAY — CITY-UTILITY PARTNERSHIP</w:t>
            </w:r>
          </w:p>
        </w:tc>
      </w:tr>
      <w:tr w:rsidR="008B6C73" w14:paraId="0694E6F2" w14:textId="77777777">
        <w:tc>
          <w:tcPr>
            <w:tcW w:w="0" w:type="auto"/>
            <w:tcBorders>
              <w:top w:val="none" w:sz="0" w:space="0" w:color="FFFFFF"/>
              <w:left w:val="none" w:sz="0" w:space="0" w:color="FFFFFF"/>
              <w:bottom w:val="none" w:sz="0" w:space="0" w:color="FFFFFF"/>
              <w:right w:val="none" w:sz="0" w:space="0" w:color="FFFFFF"/>
            </w:tcBorders>
            <w:shd w:val="clear" w:color="auto" w:fill="2E5D4B"/>
            <w:tcMar>
              <w:top w:w="20" w:type="dxa"/>
              <w:left w:w="160" w:type="dxa"/>
              <w:bottom w:w="10" w:type="dxa"/>
              <w:right w:w="160" w:type="dxa"/>
            </w:tcMar>
          </w:tcPr>
          <w:p w14:paraId="3D47CD1F" w14:textId="77777777" w:rsidR="008B6C73" w:rsidRDefault="00000000">
            <w:r>
              <w:rPr>
                <w:rFonts w:ascii="Calibri" w:eastAsia="Calibri" w:hAnsi="Calibri" w:cs="Calibri"/>
                <w:b/>
                <w:bCs/>
                <w:color w:val="FFFFFF"/>
                <w:sz w:val="46"/>
                <w:szCs w:val="46"/>
              </w:rPr>
              <w:t>Boston Energy Saver Program</w:t>
            </w:r>
          </w:p>
        </w:tc>
      </w:tr>
      <w:tr w:rsidR="008B6C73" w14:paraId="745FD253" w14:textId="77777777">
        <w:tc>
          <w:tcPr>
            <w:tcW w:w="0" w:type="auto"/>
            <w:tcBorders>
              <w:top w:val="none" w:sz="0" w:space="0" w:color="FFFFFF"/>
              <w:left w:val="none" w:sz="0" w:space="0" w:color="FFFFFF"/>
              <w:bottom w:val="none" w:sz="0" w:space="0" w:color="FFFFFF"/>
              <w:right w:val="none" w:sz="0" w:space="0" w:color="FFFFFF"/>
            </w:tcBorders>
            <w:shd w:val="clear" w:color="auto" w:fill="2E5D4B"/>
            <w:tcMar>
              <w:top w:w="4" w:type="dxa"/>
              <w:left w:w="160" w:type="dxa"/>
              <w:bottom w:w="4" w:type="dxa"/>
              <w:right w:w="160" w:type="dxa"/>
            </w:tcMar>
          </w:tcPr>
          <w:p w14:paraId="196C8CBC" w14:textId="77777777" w:rsidR="008B6C73" w:rsidRDefault="00000000">
            <w:r>
              <w:rPr>
                <w:rFonts w:ascii="Calibri" w:eastAsia="Calibri" w:hAnsi="Calibri" w:cs="Calibri"/>
                <w:b/>
                <w:bCs/>
                <w:color w:val="D8F0ED"/>
                <w:sz w:val="16"/>
                <w:szCs w:val="16"/>
              </w:rPr>
              <w:t xml:space="preserve">Boston, </w:t>
            </w:r>
            <w:proofErr w:type="gramStart"/>
            <w:r>
              <w:rPr>
                <w:rFonts w:ascii="Calibri" w:eastAsia="Calibri" w:hAnsi="Calibri" w:cs="Calibri"/>
                <w:b/>
                <w:bCs/>
                <w:color w:val="D8F0ED"/>
                <w:sz w:val="16"/>
                <w:szCs w:val="16"/>
              </w:rPr>
              <w:t>MA  ·</w:t>
            </w:r>
            <w:proofErr w:type="gramEnd"/>
            <w:r>
              <w:rPr>
                <w:rFonts w:ascii="Calibri" w:eastAsia="Calibri" w:hAnsi="Calibri" w:cs="Calibri"/>
                <w:b/>
                <w:bCs/>
                <w:color w:val="D8F0ED"/>
                <w:sz w:val="16"/>
                <w:szCs w:val="16"/>
              </w:rPr>
              <w:t xml:space="preserve">  Launched </w:t>
            </w:r>
            <w:proofErr w:type="gramStart"/>
            <w:r>
              <w:rPr>
                <w:rFonts w:ascii="Calibri" w:eastAsia="Calibri" w:hAnsi="Calibri" w:cs="Calibri"/>
                <w:b/>
                <w:bCs/>
                <w:color w:val="D8F0ED"/>
                <w:sz w:val="16"/>
                <w:szCs w:val="16"/>
              </w:rPr>
              <w:t>2025  ·</w:t>
            </w:r>
            <w:proofErr w:type="gramEnd"/>
            <w:r>
              <w:rPr>
                <w:rFonts w:ascii="Calibri" w:eastAsia="Calibri" w:hAnsi="Calibri" w:cs="Calibri"/>
                <w:b/>
                <w:bCs/>
                <w:color w:val="D8F0ED"/>
                <w:sz w:val="16"/>
                <w:szCs w:val="16"/>
              </w:rPr>
              <w:t xml:space="preserve">  Formal MOU with Eversource &amp; National Grid</w:t>
            </w:r>
          </w:p>
        </w:tc>
      </w:tr>
      <w:tr w:rsidR="008B6C73" w14:paraId="0224AA81" w14:textId="77777777">
        <w:tc>
          <w:tcPr>
            <w:tcW w:w="0" w:type="auto"/>
            <w:tcBorders>
              <w:top w:val="none" w:sz="0" w:space="0" w:color="FFFFFF"/>
              <w:left w:val="none" w:sz="0" w:space="0" w:color="FFFFFF"/>
              <w:bottom w:val="none" w:sz="0" w:space="0" w:color="FFFFFF"/>
              <w:right w:val="none" w:sz="0" w:space="0" w:color="FFFFFF"/>
            </w:tcBorders>
            <w:shd w:val="clear" w:color="auto" w:fill="1B4332"/>
            <w:tcMar>
              <w:top w:w="40" w:type="dxa"/>
              <w:left w:w="160" w:type="dxa"/>
              <w:bottom w:w="40" w:type="dxa"/>
              <w:right w:w="160" w:type="dxa"/>
            </w:tcMar>
          </w:tcPr>
          <w:p w14:paraId="1B14A5AD" w14:textId="77777777" w:rsidR="008B6C73" w:rsidRDefault="00000000">
            <w:r>
              <w:rPr>
                <w:rFonts w:ascii="Calibri" w:eastAsia="Calibri" w:hAnsi="Calibri" w:cs="Calibri"/>
                <w:b/>
                <w:bCs/>
                <w:color w:val="B7E4C7"/>
                <w:sz w:val="15"/>
                <w:szCs w:val="15"/>
              </w:rPr>
              <w:t xml:space="preserve">5,000 Heat Pumps by </w:t>
            </w:r>
            <w:proofErr w:type="gramStart"/>
            <w:r>
              <w:rPr>
                <w:rFonts w:ascii="Calibri" w:eastAsia="Calibri" w:hAnsi="Calibri" w:cs="Calibri"/>
                <w:b/>
                <w:bCs/>
                <w:color w:val="B7E4C7"/>
                <w:sz w:val="15"/>
                <w:szCs w:val="15"/>
              </w:rPr>
              <w:t>2027  ·</w:t>
            </w:r>
            <w:proofErr w:type="gramEnd"/>
            <w:r>
              <w:rPr>
                <w:rFonts w:ascii="Calibri" w:eastAsia="Calibri" w:hAnsi="Calibri" w:cs="Calibri"/>
                <w:b/>
                <w:bCs/>
                <w:color w:val="B7E4C7"/>
                <w:sz w:val="15"/>
                <w:szCs w:val="15"/>
              </w:rPr>
              <w:t xml:space="preserve">  10,000 Weatherized by </w:t>
            </w:r>
            <w:proofErr w:type="gramStart"/>
            <w:r>
              <w:rPr>
                <w:rFonts w:ascii="Calibri" w:eastAsia="Calibri" w:hAnsi="Calibri" w:cs="Calibri"/>
                <w:b/>
                <w:bCs/>
                <w:color w:val="B7E4C7"/>
                <w:sz w:val="15"/>
                <w:szCs w:val="15"/>
              </w:rPr>
              <w:t>2027  ·</w:t>
            </w:r>
            <w:proofErr w:type="gramEnd"/>
            <w:r>
              <w:rPr>
                <w:rFonts w:ascii="Calibri" w:eastAsia="Calibri" w:hAnsi="Calibri" w:cs="Calibri"/>
                <w:b/>
                <w:bCs/>
                <w:color w:val="B7E4C7"/>
                <w:sz w:val="15"/>
                <w:szCs w:val="15"/>
              </w:rPr>
              <w:t xml:space="preserve">  Intermediate Pathway</w:t>
            </w:r>
          </w:p>
        </w:tc>
      </w:tr>
    </w:tbl>
    <w:p w14:paraId="53ADC35F" w14:textId="77777777" w:rsidR="008B6C73" w:rsidRDefault="008B6C73">
      <w:pPr>
        <w:spacing w:after="40"/>
      </w:pPr>
    </w:p>
    <w:p w14:paraId="4C2CE94E" w14:textId="77777777" w:rsidR="008B6C73" w:rsidRDefault="008B6C73">
      <w:pPr>
        <w:pBdr>
          <w:bottom w:val="single" w:sz="6" w:space="1" w:color="C5DDD9"/>
        </w:pBdr>
      </w:pPr>
    </w:p>
    <w:p w14:paraId="71FF455A" w14:textId="77777777" w:rsidR="008B6C73" w:rsidRDefault="008B6C73">
      <w:pPr>
        <w:spacing w:after="3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
        <w:gridCol w:w="9180"/>
      </w:tblGrid>
      <w:tr w:rsidR="008B6C73" w14:paraId="3B5DCB3D" w14:textId="77777777">
        <w:tc>
          <w:tcPr>
            <w:tcW w:w="180" w:type="dxa"/>
            <w:tcBorders>
              <w:top w:val="none" w:sz="0" w:space="0" w:color="FFFFFF"/>
              <w:left w:val="none" w:sz="0" w:space="0" w:color="FFFFFF"/>
              <w:bottom w:val="none" w:sz="0" w:space="0" w:color="FFFFFF"/>
              <w:right w:val="none" w:sz="0" w:space="0" w:color="FFFFFF"/>
            </w:tcBorders>
            <w:shd w:val="clear" w:color="auto" w:fill="2D6A4F"/>
            <w:tcMar>
              <w:top w:w="0" w:type="dxa"/>
              <w:left w:w="0" w:type="dxa"/>
              <w:bottom w:w="0" w:type="dxa"/>
              <w:right w:w="0" w:type="dxa"/>
            </w:tcMar>
          </w:tcPr>
          <w:p w14:paraId="69147CBD" w14:textId="77777777" w:rsidR="008B6C73" w:rsidRDefault="008B6C73"/>
        </w:tc>
        <w:tc>
          <w:tcPr>
            <w:tcW w:w="9180" w:type="dxa"/>
            <w:tcBorders>
              <w:top w:val="none" w:sz="0" w:space="0" w:color="FFFFFF"/>
              <w:left w:val="none" w:sz="0" w:space="0" w:color="FFFFFF"/>
              <w:bottom w:val="none" w:sz="0" w:space="0" w:color="FFFFFF"/>
              <w:right w:val="none" w:sz="0" w:space="0" w:color="FFFFFF"/>
            </w:tcBorders>
            <w:shd w:val="clear" w:color="auto" w:fill="FFFFFF"/>
            <w:tcMar>
              <w:top w:w="28" w:type="dxa"/>
              <w:left w:w="110" w:type="dxa"/>
              <w:bottom w:w="28" w:type="dxa"/>
              <w:right w:w="0" w:type="dxa"/>
            </w:tcMar>
          </w:tcPr>
          <w:p w14:paraId="52023FFE" w14:textId="77777777" w:rsidR="008B6C73" w:rsidRDefault="00000000">
            <w:r>
              <w:rPr>
                <w:rFonts w:ascii="Calibri" w:eastAsia="Calibri" w:hAnsi="Calibri" w:cs="Calibri"/>
                <w:b/>
                <w:bCs/>
                <w:color w:val="2D6A4F"/>
                <w:sz w:val="16"/>
                <w:szCs w:val="16"/>
              </w:rPr>
              <w:t>WHAT IS IT?</w:t>
            </w:r>
          </w:p>
        </w:tc>
      </w:tr>
    </w:tbl>
    <w:p w14:paraId="184AC671" w14:textId="77777777" w:rsidR="008B6C73" w:rsidRDefault="008B6C73">
      <w:pPr>
        <w:spacing w:after="25"/>
      </w:pPr>
    </w:p>
    <w:p w14:paraId="07ABAA61" w14:textId="345C8636" w:rsidR="008B6C73" w:rsidRDefault="00000000">
      <w:r>
        <w:rPr>
          <w:rFonts w:ascii="Calibri" w:eastAsia="Calibri" w:hAnsi="Calibri" w:cs="Calibri"/>
          <w:color w:val="1A1A1A"/>
          <w:sz w:val="16"/>
          <w:szCs w:val="16"/>
        </w:rPr>
        <w:t xml:space="preserve">Boston Energy Saver is a free city-run service launched in 2025 that provides one-on-one guidance to help renters, homeowners, and small businesses access rebates, no-cost upgrades, and contractor pathways. The program is backed by a formal Memorandum of Understanding signed March 17, 2025, between the City of Boston's Environment Department and Eversource and National Grid. Under the MOU, partners committed to delivering 5,000 heat pumps and 10,000 </w:t>
      </w:r>
      <w:r w:rsidR="003B72B5">
        <w:rPr>
          <w:rFonts w:ascii="Calibri" w:eastAsia="Calibri" w:hAnsi="Calibri" w:cs="Calibri"/>
          <w:color w:val="1A1A1A"/>
          <w:sz w:val="16"/>
          <w:szCs w:val="16"/>
        </w:rPr>
        <w:t>weatherization’s</w:t>
      </w:r>
      <w:r>
        <w:rPr>
          <w:rFonts w:ascii="Calibri" w:eastAsia="Calibri" w:hAnsi="Calibri" w:cs="Calibri"/>
          <w:color w:val="1A1A1A"/>
          <w:sz w:val="16"/>
          <w:szCs w:val="16"/>
        </w:rPr>
        <w:t xml:space="preserve"> between 2025 and 2027. The program layers city coordination capacity on top of Massachusetts' statewide Mass Save program to dramatically increase uptake among income-qualified residents.</w:t>
      </w:r>
    </w:p>
    <w:p w14:paraId="5FB41019" w14:textId="77777777" w:rsidR="008B6C73" w:rsidRDefault="008B6C73">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
        <w:gridCol w:w="9180"/>
      </w:tblGrid>
      <w:tr w:rsidR="008B6C73" w14:paraId="55ADDC37" w14:textId="77777777">
        <w:tc>
          <w:tcPr>
            <w:tcW w:w="180" w:type="dxa"/>
            <w:tcBorders>
              <w:top w:val="none" w:sz="0" w:space="0" w:color="FFFFFF"/>
              <w:left w:val="none" w:sz="0" w:space="0" w:color="FFFFFF"/>
              <w:bottom w:val="none" w:sz="0" w:space="0" w:color="FFFFFF"/>
              <w:right w:val="none" w:sz="0" w:space="0" w:color="FFFFFF"/>
            </w:tcBorders>
            <w:shd w:val="clear" w:color="auto" w:fill="2D6A4F"/>
            <w:tcMar>
              <w:top w:w="0" w:type="dxa"/>
              <w:left w:w="0" w:type="dxa"/>
              <w:bottom w:w="0" w:type="dxa"/>
              <w:right w:w="0" w:type="dxa"/>
            </w:tcMar>
          </w:tcPr>
          <w:p w14:paraId="19DA6627" w14:textId="77777777" w:rsidR="008B6C73" w:rsidRDefault="008B6C73"/>
        </w:tc>
        <w:tc>
          <w:tcPr>
            <w:tcW w:w="9180" w:type="dxa"/>
            <w:tcBorders>
              <w:top w:val="none" w:sz="0" w:space="0" w:color="FFFFFF"/>
              <w:left w:val="none" w:sz="0" w:space="0" w:color="FFFFFF"/>
              <w:bottom w:val="none" w:sz="0" w:space="0" w:color="FFFFFF"/>
              <w:right w:val="none" w:sz="0" w:space="0" w:color="FFFFFF"/>
            </w:tcBorders>
            <w:shd w:val="clear" w:color="auto" w:fill="FFFFFF"/>
            <w:tcMar>
              <w:top w:w="28" w:type="dxa"/>
              <w:left w:w="110" w:type="dxa"/>
              <w:bottom w:w="28" w:type="dxa"/>
              <w:right w:w="0" w:type="dxa"/>
            </w:tcMar>
          </w:tcPr>
          <w:p w14:paraId="6A8D9C30" w14:textId="77777777" w:rsidR="008B6C73" w:rsidRDefault="00000000">
            <w:r>
              <w:rPr>
                <w:rFonts w:ascii="Calibri" w:eastAsia="Calibri" w:hAnsi="Calibri" w:cs="Calibri"/>
                <w:b/>
                <w:bCs/>
                <w:color w:val="2D6A4F"/>
                <w:sz w:val="16"/>
                <w:szCs w:val="16"/>
              </w:rPr>
              <w:t>EVIDENCE HIGHLIGHTS</w:t>
            </w:r>
          </w:p>
        </w:tc>
      </w:tr>
    </w:tbl>
    <w:p w14:paraId="09E610B6" w14:textId="77777777" w:rsidR="008B6C73" w:rsidRDefault="008B6C73">
      <w:pPr>
        <w:spacing w:after="28"/>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00"/>
        <w:gridCol w:w="7060"/>
      </w:tblGrid>
      <w:tr w:rsidR="008B6C73" w14:paraId="70034193" w14:textId="77777777">
        <w:tc>
          <w:tcPr>
            <w:tcW w:w="2300" w:type="dxa"/>
            <w:tcBorders>
              <w:top w:val="single" w:sz="4" w:space="0" w:color="C5DDD9"/>
              <w:left w:val="single" w:sz="4" w:space="0" w:color="C5DDD9"/>
              <w:bottom w:val="single" w:sz="4" w:space="0" w:color="C5DDD9"/>
              <w:right w:val="single" w:sz="4" w:space="0" w:color="C5DDD9"/>
            </w:tcBorders>
            <w:shd w:val="clear" w:color="auto" w:fill="E8F4F1"/>
            <w:tcMar>
              <w:top w:w="55" w:type="dxa"/>
              <w:left w:w="100" w:type="dxa"/>
              <w:bottom w:w="55" w:type="dxa"/>
              <w:right w:w="100" w:type="dxa"/>
            </w:tcMar>
          </w:tcPr>
          <w:p w14:paraId="5A1BCAB7" w14:textId="77777777" w:rsidR="008B6C73" w:rsidRDefault="00000000">
            <w:r>
              <w:rPr>
                <w:rFonts w:ascii="Calibri" w:eastAsia="Calibri" w:hAnsi="Calibri" w:cs="Calibri"/>
                <w:b/>
                <w:bCs/>
                <w:color w:val="1B4332"/>
                <w:sz w:val="16"/>
                <w:szCs w:val="16"/>
              </w:rPr>
              <w:t>MOU Target: Heat Pumps</w:t>
            </w:r>
          </w:p>
        </w:tc>
        <w:tc>
          <w:tcPr>
            <w:tcW w:w="7060" w:type="dxa"/>
            <w:tcBorders>
              <w:top w:val="single" w:sz="4" w:space="0" w:color="C5DDD9"/>
              <w:left w:val="single" w:sz="4" w:space="0" w:color="C5DDD9"/>
              <w:bottom w:val="single" w:sz="4" w:space="0" w:color="C5DDD9"/>
              <w:right w:val="single" w:sz="4" w:space="0" w:color="C5DDD9"/>
            </w:tcBorders>
            <w:shd w:val="clear" w:color="auto" w:fill="FFFFFF"/>
            <w:tcMar>
              <w:top w:w="55" w:type="dxa"/>
              <w:left w:w="110" w:type="dxa"/>
              <w:bottom w:w="55" w:type="dxa"/>
              <w:right w:w="100" w:type="dxa"/>
            </w:tcMar>
          </w:tcPr>
          <w:p w14:paraId="773CBBF3" w14:textId="77777777" w:rsidR="008B6C73" w:rsidRDefault="00000000">
            <w:r>
              <w:rPr>
                <w:rFonts w:ascii="Calibri" w:eastAsia="Calibri" w:hAnsi="Calibri" w:cs="Calibri"/>
                <w:color w:val="1A1A1A"/>
                <w:sz w:val="16"/>
                <w:szCs w:val="16"/>
              </w:rPr>
              <w:t>5,000 heat pump installations committed between 2025 and 2027 under the tripartite city-Eversource-National Grid agreement</w:t>
            </w:r>
          </w:p>
        </w:tc>
      </w:tr>
      <w:tr w:rsidR="008B6C73" w14:paraId="0C720232" w14:textId="77777777">
        <w:tc>
          <w:tcPr>
            <w:tcW w:w="2300" w:type="dxa"/>
            <w:tcBorders>
              <w:top w:val="single" w:sz="4" w:space="0" w:color="C5DDD9"/>
              <w:left w:val="single" w:sz="4" w:space="0" w:color="C5DDD9"/>
              <w:bottom w:val="single" w:sz="4" w:space="0" w:color="C5DDD9"/>
              <w:right w:val="single" w:sz="4" w:space="0" w:color="C5DDD9"/>
            </w:tcBorders>
            <w:shd w:val="clear" w:color="auto" w:fill="D4EBE6"/>
            <w:tcMar>
              <w:top w:w="55" w:type="dxa"/>
              <w:left w:w="100" w:type="dxa"/>
              <w:bottom w:w="55" w:type="dxa"/>
              <w:right w:w="100" w:type="dxa"/>
            </w:tcMar>
          </w:tcPr>
          <w:p w14:paraId="47F79E9C" w14:textId="77777777" w:rsidR="008B6C73" w:rsidRDefault="00000000">
            <w:r>
              <w:rPr>
                <w:rFonts w:ascii="Calibri" w:eastAsia="Calibri" w:hAnsi="Calibri" w:cs="Calibri"/>
                <w:b/>
                <w:bCs/>
                <w:color w:val="1B4332"/>
                <w:sz w:val="16"/>
                <w:szCs w:val="16"/>
              </w:rPr>
              <w:t>MOU Target: Weatherization</w:t>
            </w:r>
          </w:p>
        </w:tc>
        <w:tc>
          <w:tcPr>
            <w:tcW w:w="7060" w:type="dxa"/>
            <w:tcBorders>
              <w:top w:val="single" w:sz="4" w:space="0" w:color="C5DDD9"/>
              <w:left w:val="single" w:sz="4" w:space="0" w:color="C5DDD9"/>
              <w:bottom w:val="single" w:sz="4" w:space="0" w:color="C5DDD9"/>
              <w:right w:val="single" w:sz="4" w:space="0" w:color="C5DDD9"/>
            </w:tcBorders>
            <w:shd w:val="clear" w:color="auto" w:fill="F5F8FC"/>
            <w:tcMar>
              <w:top w:w="55" w:type="dxa"/>
              <w:left w:w="110" w:type="dxa"/>
              <w:bottom w:w="55" w:type="dxa"/>
              <w:right w:w="100" w:type="dxa"/>
            </w:tcMar>
          </w:tcPr>
          <w:p w14:paraId="018CAA68" w14:textId="77777777" w:rsidR="008B6C73" w:rsidRDefault="00000000">
            <w:r>
              <w:rPr>
                <w:rFonts w:ascii="Calibri" w:eastAsia="Calibri" w:hAnsi="Calibri" w:cs="Calibri"/>
                <w:color w:val="1A1A1A"/>
                <w:sz w:val="16"/>
                <w:szCs w:val="16"/>
              </w:rPr>
              <w:t>10,000 weatherized buildings committed between 2025 and 2027</w:t>
            </w:r>
          </w:p>
        </w:tc>
      </w:tr>
      <w:tr w:rsidR="008B6C73" w14:paraId="7F405780" w14:textId="77777777">
        <w:tc>
          <w:tcPr>
            <w:tcW w:w="2300" w:type="dxa"/>
            <w:tcBorders>
              <w:top w:val="single" w:sz="4" w:space="0" w:color="C5DDD9"/>
              <w:left w:val="single" w:sz="4" w:space="0" w:color="C5DDD9"/>
              <w:bottom w:val="single" w:sz="4" w:space="0" w:color="C5DDD9"/>
              <w:right w:val="single" w:sz="4" w:space="0" w:color="C5DDD9"/>
            </w:tcBorders>
            <w:shd w:val="clear" w:color="auto" w:fill="E8F4F1"/>
            <w:tcMar>
              <w:top w:w="55" w:type="dxa"/>
              <w:left w:w="100" w:type="dxa"/>
              <w:bottom w:w="55" w:type="dxa"/>
              <w:right w:w="100" w:type="dxa"/>
            </w:tcMar>
          </w:tcPr>
          <w:p w14:paraId="0CCAE44D" w14:textId="77777777" w:rsidR="008B6C73" w:rsidRDefault="00000000">
            <w:r>
              <w:rPr>
                <w:rFonts w:ascii="Calibri" w:eastAsia="Calibri" w:hAnsi="Calibri" w:cs="Calibri"/>
                <w:b/>
                <w:bCs/>
                <w:color w:val="1B4332"/>
                <w:sz w:val="16"/>
                <w:szCs w:val="16"/>
              </w:rPr>
              <w:t>Income Threshold (2025–26)</w:t>
            </w:r>
          </w:p>
        </w:tc>
        <w:tc>
          <w:tcPr>
            <w:tcW w:w="7060" w:type="dxa"/>
            <w:tcBorders>
              <w:top w:val="single" w:sz="4" w:space="0" w:color="C5DDD9"/>
              <w:left w:val="single" w:sz="4" w:space="0" w:color="C5DDD9"/>
              <w:bottom w:val="single" w:sz="4" w:space="0" w:color="C5DDD9"/>
              <w:right w:val="single" w:sz="4" w:space="0" w:color="C5DDD9"/>
            </w:tcBorders>
            <w:shd w:val="clear" w:color="auto" w:fill="FFFFFF"/>
            <w:tcMar>
              <w:top w:w="55" w:type="dxa"/>
              <w:left w:w="110" w:type="dxa"/>
              <w:bottom w:w="55" w:type="dxa"/>
              <w:right w:w="100" w:type="dxa"/>
            </w:tcMar>
          </w:tcPr>
          <w:p w14:paraId="5EA51C6D" w14:textId="77777777" w:rsidR="008B6C73" w:rsidRDefault="00000000">
            <w:r>
              <w:rPr>
                <w:rFonts w:ascii="Calibri" w:eastAsia="Calibri" w:hAnsi="Calibri" w:cs="Calibri"/>
                <w:color w:val="1A1A1A"/>
                <w:sz w:val="16"/>
                <w:szCs w:val="16"/>
              </w:rPr>
              <w:t>Up to $67,709 for a two-person household qualifies for no-cost weatherization and electrification upgrades</w:t>
            </w:r>
          </w:p>
        </w:tc>
      </w:tr>
      <w:tr w:rsidR="008B6C73" w14:paraId="012B4718" w14:textId="77777777">
        <w:tc>
          <w:tcPr>
            <w:tcW w:w="2300" w:type="dxa"/>
            <w:tcBorders>
              <w:top w:val="single" w:sz="4" w:space="0" w:color="C5DDD9"/>
              <w:left w:val="single" w:sz="4" w:space="0" w:color="C5DDD9"/>
              <w:bottom w:val="single" w:sz="4" w:space="0" w:color="C5DDD9"/>
              <w:right w:val="single" w:sz="4" w:space="0" w:color="C5DDD9"/>
            </w:tcBorders>
            <w:shd w:val="clear" w:color="auto" w:fill="D4EBE6"/>
            <w:tcMar>
              <w:top w:w="55" w:type="dxa"/>
              <w:left w:w="100" w:type="dxa"/>
              <w:bottom w:w="55" w:type="dxa"/>
              <w:right w:w="100" w:type="dxa"/>
            </w:tcMar>
          </w:tcPr>
          <w:p w14:paraId="6269C02F" w14:textId="77777777" w:rsidR="008B6C73" w:rsidRDefault="00000000">
            <w:r>
              <w:rPr>
                <w:rFonts w:ascii="Calibri" w:eastAsia="Calibri" w:hAnsi="Calibri" w:cs="Calibri"/>
                <w:b/>
                <w:bCs/>
                <w:color w:val="1B4332"/>
                <w:sz w:val="16"/>
                <w:szCs w:val="16"/>
              </w:rPr>
              <w:t>Pre-MOU Mass Save Activity</w:t>
            </w:r>
          </w:p>
        </w:tc>
        <w:tc>
          <w:tcPr>
            <w:tcW w:w="7060" w:type="dxa"/>
            <w:tcBorders>
              <w:top w:val="single" w:sz="4" w:space="0" w:color="C5DDD9"/>
              <w:left w:val="single" w:sz="4" w:space="0" w:color="C5DDD9"/>
              <w:bottom w:val="single" w:sz="4" w:space="0" w:color="C5DDD9"/>
              <w:right w:val="single" w:sz="4" w:space="0" w:color="C5DDD9"/>
            </w:tcBorders>
            <w:shd w:val="clear" w:color="auto" w:fill="F5F8FC"/>
            <w:tcMar>
              <w:top w:w="55" w:type="dxa"/>
              <w:left w:w="110" w:type="dxa"/>
              <w:bottom w:w="55" w:type="dxa"/>
              <w:right w:w="100" w:type="dxa"/>
            </w:tcMar>
          </w:tcPr>
          <w:p w14:paraId="0DFEC07D" w14:textId="77777777" w:rsidR="008B6C73" w:rsidRDefault="00000000">
            <w:r>
              <w:rPr>
                <w:rFonts w:ascii="Calibri" w:eastAsia="Calibri" w:hAnsi="Calibri" w:cs="Calibri"/>
                <w:color w:val="1A1A1A"/>
                <w:sz w:val="16"/>
                <w:szCs w:val="16"/>
              </w:rPr>
              <w:t xml:space="preserve">8,377 MWh in electric savings; 1.7M </w:t>
            </w:r>
            <w:proofErr w:type="spellStart"/>
            <w:r>
              <w:rPr>
                <w:rFonts w:ascii="Calibri" w:eastAsia="Calibri" w:hAnsi="Calibri" w:cs="Calibri"/>
                <w:color w:val="1A1A1A"/>
                <w:sz w:val="16"/>
                <w:szCs w:val="16"/>
              </w:rPr>
              <w:t>therms</w:t>
            </w:r>
            <w:proofErr w:type="spellEnd"/>
            <w:r>
              <w:rPr>
                <w:rFonts w:ascii="Calibri" w:eastAsia="Calibri" w:hAnsi="Calibri" w:cs="Calibri"/>
                <w:color w:val="1A1A1A"/>
                <w:sz w:val="16"/>
                <w:szCs w:val="16"/>
              </w:rPr>
              <w:t xml:space="preserve"> of gas savings; $12.7M in electric and $26.2M in gas incentives distributed</w:t>
            </w:r>
          </w:p>
        </w:tc>
      </w:tr>
    </w:tbl>
    <w:p w14:paraId="7453025D" w14:textId="77777777" w:rsidR="008B6C73" w:rsidRDefault="008B6C73">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
        <w:gridCol w:w="9180"/>
      </w:tblGrid>
      <w:tr w:rsidR="008B6C73" w14:paraId="68FD534A" w14:textId="77777777">
        <w:tc>
          <w:tcPr>
            <w:tcW w:w="180" w:type="dxa"/>
            <w:tcBorders>
              <w:top w:val="none" w:sz="0" w:space="0" w:color="FFFFFF"/>
              <w:left w:val="none" w:sz="0" w:space="0" w:color="FFFFFF"/>
              <w:bottom w:val="none" w:sz="0" w:space="0" w:color="FFFFFF"/>
              <w:right w:val="none" w:sz="0" w:space="0" w:color="FFFFFF"/>
            </w:tcBorders>
            <w:shd w:val="clear" w:color="auto" w:fill="2D6A4F"/>
            <w:tcMar>
              <w:top w:w="0" w:type="dxa"/>
              <w:left w:w="0" w:type="dxa"/>
              <w:bottom w:w="0" w:type="dxa"/>
              <w:right w:w="0" w:type="dxa"/>
            </w:tcMar>
          </w:tcPr>
          <w:p w14:paraId="2F8E8ECA" w14:textId="77777777" w:rsidR="008B6C73" w:rsidRDefault="008B6C73"/>
        </w:tc>
        <w:tc>
          <w:tcPr>
            <w:tcW w:w="9180" w:type="dxa"/>
            <w:tcBorders>
              <w:top w:val="none" w:sz="0" w:space="0" w:color="FFFFFF"/>
              <w:left w:val="none" w:sz="0" w:space="0" w:color="FFFFFF"/>
              <w:bottom w:val="none" w:sz="0" w:space="0" w:color="FFFFFF"/>
              <w:right w:val="none" w:sz="0" w:space="0" w:color="FFFFFF"/>
            </w:tcBorders>
            <w:shd w:val="clear" w:color="auto" w:fill="FFFFFF"/>
            <w:tcMar>
              <w:top w:w="28" w:type="dxa"/>
              <w:left w:w="110" w:type="dxa"/>
              <w:bottom w:w="28" w:type="dxa"/>
              <w:right w:w="0" w:type="dxa"/>
            </w:tcMar>
          </w:tcPr>
          <w:p w14:paraId="0B08BB12" w14:textId="77777777" w:rsidR="008B6C73" w:rsidRDefault="00000000">
            <w:r>
              <w:rPr>
                <w:rFonts w:ascii="Calibri" w:eastAsia="Calibri" w:hAnsi="Calibri" w:cs="Calibri"/>
                <w:b/>
                <w:bCs/>
                <w:color w:val="2D6A4F"/>
                <w:sz w:val="16"/>
                <w:szCs w:val="16"/>
              </w:rPr>
              <w:t>HOW IT WORKS</w:t>
            </w:r>
          </w:p>
        </w:tc>
      </w:tr>
    </w:tbl>
    <w:p w14:paraId="59712F19" w14:textId="77777777" w:rsidR="008B6C73" w:rsidRDefault="008B6C73">
      <w:pPr>
        <w:spacing w:after="28"/>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8B6C73" w14:paraId="0DDA5216" w14:textId="77777777">
        <w:tc>
          <w:tcPr>
            <w:tcW w:w="4680" w:type="dxa"/>
            <w:tcBorders>
              <w:top w:val="single" w:sz="4" w:space="0" w:color="C5DDD9"/>
              <w:left w:val="single" w:sz="4" w:space="0" w:color="C5DDD9"/>
              <w:bottom w:val="single" w:sz="4" w:space="0" w:color="C5DDD9"/>
              <w:right w:val="single" w:sz="4" w:space="0" w:color="C5DDD9"/>
            </w:tcBorders>
            <w:shd w:val="clear" w:color="auto" w:fill="EDF4FC"/>
            <w:tcMar>
              <w:top w:w="60" w:type="dxa"/>
              <w:left w:w="110" w:type="dxa"/>
              <w:bottom w:w="65" w:type="dxa"/>
              <w:right w:w="110" w:type="dxa"/>
            </w:tcMar>
          </w:tcPr>
          <w:p w14:paraId="6628BD87" w14:textId="77777777" w:rsidR="008B6C73" w:rsidRDefault="00000000">
            <w:pPr>
              <w:spacing w:after="30"/>
            </w:pPr>
            <w:r>
              <w:rPr>
                <w:rFonts w:ascii="Calibri" w:eastAsia="Calibri" w:hAnsi="Calibri" w:cs="Calibri"/>
                <w:b/>
                <w:bCs/>
                <w:color w:val="2D6A4F"/>
                <w:sz w:val="16"/>
                <w:szCs w:val="16"/>
              </w:rPr>
              <w:t>① City as Navigator</w:t>
            </w:r>
          </w:p>
          <w:p w14:paraId="43FBD004" w14:textId="77777777" w:rsidR="008B6C73" w:rsidRDefault="00000000">
            <w:r>
              <w:rPr>
                <w:rFonts w:ascii="Calibri" w:eastAsia="Calibri" w:hAnsi="Calibri" w:cs="Calibri"/>
                <w:color w:val="1A1A1A"/>
                <w:sz w:val="16"/>
                <w:szCs w:val="16"/>
              </w:rPr>
              <w:t>Boston Energy Saver provides free one-on-one guidance — connecting residents to Mass Save rebates, no-cost upgrades, and qualified contractors rather than leaving households to navigate utility programs alone.</w:t>
            </w:r>
          </w:p>
        </w:tc>
        <w:tc>
          <w:tcPr>
            <w:tcW w:w="4680" w:type="dxa"/>
            <w:tcBorders>
              <w:top w:val="single" w:sz="4" w:space="0" w:color="C5DDD9"/>
              <w:left w:val="single" w:sz="4" w:space="0" w:color="C5DDD9"/>
              <w:bottom w:val="single" w:sz="4" w:space="0" w:color="C5DDD9"/>
              <w:right w:val="single" w:sz="4" w:space="0" w:color="C5DDD9"/>
            </w:tcBorders>
            <w:shd w:val="clear" w:color="auto" w:fill="F5F8FC"/>
            <w:tcMar>
              <w:top w:w="60" w:type="dxa"/>
              <w:left w:w="110" w:type="dxa"/>
              <w:bottom w:w="65" w:type="dxa"/>
              <w:right w:w="110" w:type="dxa"/>
            </w:tcMar>
          </w:tcPr>
          <w:p w14:paraId="2E67F97A" w14:textId="77777777" w:rsidR="008B6C73" w:rsidRDefault="00000000">
            <w:pPr>
              <w:spacing w:after="30"/>
            </w:pPr>
            <w:r>
              <w:rPr>
                <w:rFonts w:ascii="Calibri" w:eastAsia="Calibri" w:hAnsi="Calibri" w:cs="Calibri"/>
                <w:b/>
                <w:bCs/>
                <w:color w:val="2D6A4F"/>
                <w:sz w:val="16"/>
                <w:szCs w:val="16"/>
              </w:rPr>
              <w:t>② Formal MOU Structure</w:t>
            </w:r>
          </w:p>
          <w:p w14:paraId="65DA96DC" w14:textId="77777777" w:rsidR="008B6C73" w:rsidRDefault="00000000">
            <w:r>
              <w:rPr>
                <w:rFonts w:ascii="Calibri" w:eastAsia="Calibri" w:hAnsi="Calibri" w:cs="Calibri"/>
                <w:color w:val="1A1A1A"/>
                <w:sz w:val="16"/>
                <w:szCs w:val="16"/>
              </w:rPr>
              <w:t>The MOU with Eversource and National Grid establishes shared delivery targets, resource commitments, and accountability mechanisms. City leverage came from franchise relationships and PSC proceedings.</w:t>
            </w:r>
          </w:p>
        </w:tc>
      </w:tr>
      <w:tr w:rsidR="008B6C73" w14:paraId="00F71AC9" w14:textId="77777777">
        <w:tc>
          <w:tcPr>
            <w:tcW w:w="4680" w:type="dxa"/>
            <w:tcBorders>
              <w:top w:val="single" w:sz="4" w:space="0" w:color="C5DDD9"/>
              <w:left w:val="single" w:sz="4" w:space="0" w:color="C5DDD9"/>
              <w:bottom w:val="single" w:sz="4" w:space="0" w:color="C5DDD9"/>
              <w:right w:val="single" w:sz="4" w:space="0" w:color="C5DDD9"/>
            </w:tcBorders>
            <w:shd w:val="clear" w:color="auto" w:fill="F5F8FC"/>
            <w:tcMar>
              <w:top w:w="60" w:type="dxa"/>
              <w:left w:w="110" w:type="dxa"/>
              <w:bottom w:w="65" w:type="dxa"/>
              <w:right w:w="110" w:type="dxa"/>
            </w:tcMar>
          </w:tcPr>
          <w:p w14:paraId="0B8BD982" w14:textId="77777777" w:rsidR="008B6C73" w:rsidRDefault="00000000">
            <w:pPr>
              <w:spacing w:after="30"/>
            </w:pPr>
            <w:r>
              <w:rPr>
                <w:rFonts w:ascii="Calibri" w:eastAsia="Calibri" w:hAnsi="Calibri" w:cs="Calibri"/>
                <w:b/>
                <w:bCs/>
                <w:color w:val="2D6A4F"/>
                <w:sz w:val="16"/>
                <w:szCs w:val="16"/>
              </w:rPr>
              <w:t>③ Mass Save Integration</w:t>
            </w:r>
          </w:p>
          <w:p w14:paraId="0F23F698" w14:textId="77777777" w:rsidR="008B6C73" w:rsidRDefault="00000000">
            <w:r>
              <w:rPr>
                <w:rFonts w:ascii="Calibri" w:eastAsia="Calibri" w:hAnsi="Calibri" w:cs="Calibri"/>
                <w:color w:val="1A1A1A"/>
                <w:sz w:val="16"/>
                <w:szCs w:val="16"/>
              </w:rPr>
              <w:t>The program layers city coordination on top of the statewide Mass Save program (administered by the same utilities), dramatically increasing enrollment among income-qualified residents.</w:t>
            </w:r>
          </w:p>
        </w:tc>
        <w:tc>
          <w:tcPr>
            <w:tcW w:w="4680" w:type="dxa"/>
            <w:tcBorders>
              <w:top w:val="single" w:sz="4" w:space="0" w:color="C5DDD9"/>
              <w:left w:val="single" w:sz="4" w:space="0" w:color="C5DDD9"/>
              <w:bottom w:val="single" w:sz="4" w:space="0" w:color="C5DDD9"/>
              <w:right w:val="single" w:sz="4" w:space="0" w:color="C5DDD9"/>
            </w:tcBorders>
            <w:shd w:val="clear" w:color="auto" w:fill="EDF4FC"/>
            <w:tcMar>
              <w:top w:w="60" w:type="dxa"/>
              <w:left w:w="110" w:type="dxa"/>
              <w:bottom w:w="65" w:type="dxa"/>
              <w:right w:w="110" w:type="dxa"/>
            </w:tcMar>
          </w:tcPr>
          <w:p w14:paraId="71B7D8B1" w14:textId="77777777" w:rsidR="008B6C73" w:rsidRDefault="00000000">
            <w:pPr>
              <w:spacing w:after="30"/>
            </w:pPr>
            <w:r>
              <w:rPr>
                <w:rFonts w:ascii="Calibri" w:eastAsia="Calibri" w:hAnsi="Calibri" w:cs="Calibri"/>
                <w:b/>
                <w:bCs/>
                <w:color w:val="2D6A4F"/>
                <w:sz w:val="16"/>
                <w:szCs w:val="16"/>
              </w:rPr>
              <w:t>④ No-Cost Upgrades</w:t>
            </w:r>
          </w:p>
          <w:p w14:paraId="3500F656" w14:textId="77777777" w:rsidR="008B6C73" w:rsidRDefault="00000000">
            <w:r>
              <w:rPr>
                <w:rFonts w:ascii="Calibri" w:eastAsia="Calibri" w:hAnsi="Calibri" w:cs="Calibri"/>
                <w:color w:val="1A1A1A"/>
                <w:sz w:val="16"/>
                <w:szCs w:val="16"/>
              </w:rPr>
              <w:t>Income-qualified households receive no-cost weatherization and electrification upgrades — heat pumps, insulation, air sealing — through the layered city-utility delivery system.</w:t>
            </w:r>
          </w:p>
        </w:tc>
      </w:tr>
    </w:tbl>
    <w:p w14:paraId="22CB46D2" w14:textId="77777777" w:rsidR="008B6C73" w:rsidRDefault="008B6C73">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
        <w:gridCol w:w="9180"/>
      </w:tblGrid>
      <w:tr w:rsidR="008B6C73" w14:paraId="224CBC8E" w14:textId="77777777">
        <w:tc>
          <w:tcPr>
            <w:tcW w:w="180" w:type="dxa"/>
            <w:tcBorders>
              <w:top w:val="none" w:sz="0" w:space="0" w:color="FFFFFF"/>
              <w:left w:val="none" w:sz="0" w:space="0" w:color="FFFFFF"/>
              <w:bottom w:val="none" w:sz="0" w:space="0" w:color="FFFFFF"/>
              <w:right w:val="none" w:sz="0" w:space="0" w:color="FFFFFF"/>
            </w:tcBorders>
            <w:shd w:val="clear" w:color="auto" w:fill="2D6A4F"/>
            <w:tcMar>
              <w:top w:w="0" w:type="dxa"/>
              <w:left w:w="0" w:type="dxa"/>
              <w:bottom w:w="0" w:type="dxa"/>
              <w:right w:w="0" w:type="dxa"/>
            </w:tcMar>
          </w:tcPr>
          <w:p w14:paraId="6B68A9CC" w14:textId="77777777" w:rsidR="008B6C73" w:rsidRDefault="008B6C73"/>
        </w:tc>
        <w:tc>
          <w:tcPr>
            <w:tcW w:w="9180" w:type="dxa"/>
            <w:tcBorders>
              <w:top w:val="none" w:sz="0" w:space="0" w:color="FFFFFF"/>
              <w:left w:val="none" w:sz="0" w:space="0" w:color="FFFFFF"/>
              <w:bottom w:val="none" w:sz="0" w:space="0" w:color="FFFFFF"/>
              <w:right w:val="none" w:sz="0" w:space="0" w:color="FFFFFF"/>
            </w:tcBorders>
            <w:shd w:val="clear" w:color="auto" w:fill="FFFFFF"/>
            <w:tcMar>
              <w:top w:w="28" w:type="dxa"/>
              <w:left w:w="110" w:type="dxa"/>
              <w:bottom w:w="28" w:type="dxa"/>
              <w:right w:w="0" w:type="dxa"/>
            </w:tcMar>
          </w:tcPr>
          <w:p w14:paraId="2946F5B4" w14:textId="77777777" w:rsidR="008B6C73" w:rsidRDefault="00000000">
            <w:r>
              <w:rPr>
                <w:rFonts w:ascii="Calibri" w:eastAsia="Calibri" w:hAnsi="Calibri" w:cs="Calibri"/>
                <w:b/>
                <w:bCs/>
                <w:color w:val="2D6A4F"/>
                <w:sz w:val="16"/>
                <w:szCs w:val="16"/>
              </w:rPr>
              <w:t>ENABLING CONDITIONS &amp; REPLICATION</w:t>
            </w:r>
          </w:p>
        </w:tc>
      </w:tr>
    </w:tbl>
    <w:p w14:paraId="74EA55F8" w14:textId="77777777" w:rsidR="008B6C73" w:rsidRDefault="008B6C73">
      <w:pPr>
        <w:spacing w:after="28"/>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8B6C73" w14:paraId="08CA5723" w14:textId="77777777">
        <w:tc>
          <w:tcPr>
            <w:tcW w:w="4680" w:type="dxa"/>
            <w:tcBorders>
              <w:top w:val="single" w:sz="4" w:space="0" w:color="C5DDD9"/>
              <w:left w:val="single" w:sz="4" w:space="0" w:color="C5DDD9"/>
              <w:bottom w:val="single" w:sz="4" w:space="0" w:color="C5DDD9"/>
              <w:right w:val="single" w:sz="4" w:space="0" w:color="C5DDD9"/>
            </w:tcBorders>
            <w:shd w:val="clear" w:color="auto" w:fill="2D6A4F"/>
            <w:tcMar>
              <w:top w:w="60" w:type="dxa"/>
              <w:left w:w="110" w:type="dxa"/>
              <w:bottom w:w="60" w:type="dxa"/>
              <w:right w:w="110" w:type="dxa"/>
            </w:tcMar>
          </w:tcPr>
          <w:p w14:paraId="5CF108BF" w14:textId="77777777" w:rsidR="008B6C73" w:rsidRDefault="00000000">
            <w:r>
              <w:rPr>
                <w:rFonts w:ascii="Calibri" w:eastAsia="Calibri" w:hAnsi="Calibri" w:cs="Calibri"/>
                <w:b/>
                <w:bCs/>
                <w:color w:val="FFFFFF"/>
                <w:sz w:val="16"/>
                <w:szCs w:val="16"/>
              </w:rPr>
              <w:t>What Made It Possible</w:t>
            </w:r>
          </w:p>
        </w:tc>
        <w:tc>
          <w:tcPr>
            <w:tcW w:w="4680" w:type="dxa"/>
            <w:tcBorders>
              <w:top w:val="single" w:sz="4" w:space="0" w:color="C5DDD9"/>
              <w:left w:val="single" w:sz="4" w:space="0" w:color="C5DDD9"/>
              <w:bottom w:val="single" w:sz="4" w:space="0" w:color="C5DDD9"/>
              <w:right w:val="single" w:sz="4" w:space="0" w:color="C5DDD9"/>
            </w:tcBorders>
            <w:shd w:val="clear" w:color="auto" w:fill="2D6A4F"/>
            <w:tcMar>
              <w:top w:w="60" w:type="dxa"/>
              <w:left w:w="110" w:type="dxa"/>
              <w:bottom w:w="60" w:type="dxa"/>
              <w:right w:w="110" w:type="dxa"/>
            </w:tcMar>
          </w:tcPr>
          <w:p w14:paraId="25E978C1" w14:textId="77777777" w:rsidR="008B6C73" w:rsidRDefault="00000000">
            <w:r>
              <w:rPr>
                <w:rFonts w:ascii="Calibri" w:eastAsia="Calibri" w:hAnsi="Calibri" w:cs="Calibri"/>
                <w:b/>
                <w:bCs/>
                <w:color w:val="FFFFFF"/>
                <w:sz w:val="16"/>
                <w:szCs w:val="16"/>
              </w:rPr>
              <w:t>Who Can Replicate This</w:t>
            </w:r>
          </w:p>
        </w:tc>
      </w:tr>
      <w:tr w:rsidR="008B6C73" w14:paraId="4F832EEA" w14:textId="77777777">
        <w:tc>
          <w:tcPr>
            <w:tcW w:w="4680" w:type="dxa"/>
            <w:tcBorders>
              <w:top w:val="single" w:sz="4" w:space="0" w:color="C5DDD9"/>
              <w:left w:val="single" w:sz="4" w:space="0" w:color="C5DDD9"/>
              <w:bottom w:val="single" w:sz="4" w:space="0" w:color="C5DDD9"/>
              <w:right w:val="single" w:sz="4" w:space="0" w:color="C5DDD9"/>
            </w:tcBorders>
            <w:shd w:val="clear" w:color="auto" w:fill="FFFFFF"/>
            <w:tcMar>
              <w:top w:w="55" w:type="dxa"/>
              <w:left w:w="110" w:type="dxa"/>
              <w:bottom w:w="55" w:type="dxa"/>
              <w:right w:w="110" w:type="dxa"/>
            </w:tcMar>
          </w:tcPr>
          <w:p w14:paraId="557D9715" w14:textId="77777777" w:rsidR="008B6C73" w:rsidRDefault="00000000">
            <w:r>
              <w:rPr>
                <w:rFonts w:ascii="Calibri" w:eastAsia="Calibri" w:hAnsi="Calibri" w:cs="Calibri"/>
                <w:color w:val="1A1A1A"/>
                <w:sz w:val="16"/>
                <w:szCs w:val="16"/>
              </w:rPr>
              <w:t>Launched administratively by the City Environment Department: no new legislation required</w:t>
            </w:r>
          </w:p>
        </w:tc>
        <w:tc>
          <w:tcPr>
            <w:tcW w:w="4680" w:type="dxa"/>
            <w:tcBorders>
              <w:top w:val="single" w:sz="4" w:space="0" w:color="C5DDD9"/>
              <w:left w:val="single" w:sz="4" w:space="0" w:color="C5DDD9"/>
              <w:bottom w:val="single" w:sz="4" w:space="0" w:color="C5DDD9"/>
              <w:right w:val="single" w:sz="4" w:space="0" w:color="C5DDD9"/>
            </w:tcBorders>
            <w:shd w:val="clear" w:color="auto" w:fill="FFFFFF"/>
            <w:tcMar>
              <w:top w:w="55" w:type="dxa"/>
              <w:left w:w="110" w:type="dxa"/>
              <w:bottom w:w="55" w:type="dxa"/>
              <w:right w:w="110" w:type="dxa"/>
            </w:tcMar>
          </w:tcPr>
          <w:p w14:paraId="4E19D167" w14:textId="77777777" w:rsidR="008B6C73" w:rsidRDefault="00000000">
            <w:r>
              <w:rPr>
                <w:rFonts w:ascii="Calibri" w:eastAsia="Calibri" w:hAnsi="Calibri" w:cs="Calibri"/>
                <w:color w:val="1A1A1A"/>
                <w:sz w:val="16"/>
                <w:szCs w:val="16"/>
              </w:rPr>
              <w:t>Cities served by utilities with upcoming franchise renewals or active PSC proceedings (leverage moment)</w:t>
            </w:r>
          </w:p>
        </w:tc>
      </w:tr>
      <w:tr w:rsidR="008B6C73" w14:paraId="73502717" w14:textId="77777777">
        <w:tc>
          <w:tcPr>
            <w:tcW w:w="4680" w:type="dxa"/>
            <w:tcBorders>
              <w:top w:val="single" w:sz="4" w:space="0" w:color="C5DDD9"/>
              <w:left w:val="single" w:sz="4" w:space="0" w:color="C5DDD9"/>
              <w:bottom w:val="single" w:sz="4" w:space="0" w:color="C5DDD9"/>
              <w:right w:val="single" w:sz="4" w:space="0" w:color="C5DDD9"/>
            </w:tcBorders>
            <w:shd w:val="clear" w:color="auto" w:fill="F5F8FC"/>
            <w:tcMar>
              <w:top w:w="55" w:type="dxa"/>
              <w:left w:w="110" w:type="dxa"/>
              <w:bottom w:w="55" w:type="dxa"/>
              <w:right w:w="110" w:type="dxa"/>
            </w:tcMar>
          </w:tcPr>
          <w:p w14:paraId="76ABA052" w14:textId="77777777" w:rsidR="008B6C73" w:rsidRDefault="00000000">
            <w:r>
              <w:rPr>
                <w:rFonts w:ascii="Calibri" w:eastAsia="Calibri" w:hAnsi="Calibri" w:cs="Calibri"/>
                <w:color w:val="1A1A1A"/>
                <w:sz w:val="16"/>
                <w:szCs w:val="16"/>
              </w:rPr>
              <w:t>City leverage over Eversource and National Grid via franchise and PSC relationships</w:t>
            </w:r>
          </w:p>
        </w:tc>
        <w:tc>
          <w:tcPr>
            <w:tcW w:w="4680" w:type="dxa"/>
            <w:tcBorders>
              <w:top w:val="single" w:sz="4" w:space="0" w:color="C5DDD9"/>
              <w:left w:val="single" w:sz="4" w:space="0" w:color="C5DDD9"/>
              <w:bottom w:val="single" w:sz="4" w:space="0" w:color="C5DDD9"/>
              <w:right w:val="single" w:sz="4" w:space="0" w:color="C5DDD9"/>
            </w:tcBorders>
            <w:shd w:val="clear" w:color="auto" w:fill="F5F8FC"/>
            <w:tcMar>
              <w:top w:w="55" w:type="dxa"/>
              <w:left w:w="110" w:type="dxa"/>
              <w:bottom w:w="55" w:type="dxa"/>
              <w:right w:w="110" w:type="dxa"/>
            </w:tcMar>
          </w:tcPr>
          <w:p w14:paraId="31325769" w14:textId="77777777" w:rsidR="008B6C73" w:rsidRDefault="00000000">
            <w:r>
              <w:rPr>
                <w:rFonts w:ascii="Calibri" w:eastAsia="Calibri" w:hAnsi="Calibri" w:cs="Calibri"/>
                <w:color w:val="1A1A1A"/>
                <w:sz w:val="16"/>
                <w:szCs w:val="16"/>
              </w:rPr>
              <w:t>Cities in states with existing utility energy efficiency programs that can be layered under a city navigator</w:t>
            </w:r>
          </w:p>
        </w:tc>
      </w:tr>
      <w:tr w:rsidR="008B6C73" w14:paraId="39637580" w14:textId="77777777">
        <w:tc>
          <w:tcPr>
            <w:tcW w:w="4680" w:type="dxa"/>
            <w:tcBorders>
              <w:top w:val="single" w:sz="4" w:space="0" w:color="C5DDD9"/>
              <w:left w:val="single" w:sz="4" w:space="0" w:color="C5DDD9"/>
              <w:bottom w:val="single" w:sz="4" w:space="0" w:color="C5DDD9"/>
              <w:right w:val="single" w:sz="4" w:space="0" w:color="C5DDD9"/>
            </w:tcBorders>
            <w:shd w:val="clear" w:color="auto" w:fill="FFFFFF"/>
            <w:tcMar>
              <w:top w:w="55" w:type="dxa"/>
              <w:left w:w="110" w:type="dxa"/>
              <w:bottom w:w="55" w:type="dxa"/>
              <w:right w:w="110" w:type="dxa"/>
            </w:tcMar>
          </w:tcPr>
          <w:p w14:paraId="64F8964A" w14:textId="77777777" w:rsidR="008B6C73" w:rsidRDefault="00000000">
            <w:r>
              <w:rPr>
                <w:rFonts w:ascii="Calibri" w:eastAsia="Calibri" w:hAnsi="Calibri" w:cs="Calibri"/>
                <w:color w:val="1A1A1A"/>
                <w:sz w:val="16"/>
                <w:szCs w:val="16"/>
              </w:rPr>
              <w:t>Pre-existing Mass Save statewide infrastructure gave the MOU an implementation platform to build on</w:t>
            </w:r>
          </w:p>
        </w:tc>
        <w:tc>
          <w:tcPr>
            <w:tcW w:w="4680" w:type="dxa"/>
            <w:tcBorders>
              <w:top w:val="single" w:sz="4" w:space="0" w:color="C5DDD9"/>
              <w:left w:val="single" w:sz="4" w:space="0" w:color="C5DDD9"/>
              <w:bottom w:val="single" w:sz="4" w:space="0" w:color="C5DDD9"/>
              <w:right w:val="single" w:sz="4" w:space="0" w:color="C5DDD9"/>
            </w:tcBorders>
            <w:shd w:val="clear" w:color="auto" w:fill="FFFFFF"/>
            <w:tcMar>
              <w:top w:w="55" w:type="dxa"/>
              <w:left w:w="110" w:type="dxa"/>
              <w:bottom w:w="55" w:type="dxa"/>
              <w:right w:w="110" w:type="dxa"/>
            </w:tcMar>
          </w:tcPr>
          <w:p w14:paraId="2FAA7551" w14:textId="77777777" w:rsidR="008B6C73" w:rsidRDefault="00000000">
            <w:r>
              <w:rPr>
                <w:rFonts w:ascii="Calibri" w:eastAsia="Calibri" w:hAnsi="Calibri" w:cs="Calibri"/>
                <w:color w:val="1A1A1A"/>
                <w:sz w:val="16"/>
                <w:szCs w:val="16"/>
              </w:rPr>
              <w:t>Cities with Environment or Sustainability Departments that have capacity to run a navigator function</w:t>
            </w:r>
          </w:p>
        </w:tc>
      </w:tr>
      <w:tr w:rsidR="008B6C73" w14:paraId="6FEF2B34" w14:textId="77777777" w:rsidTr="003B72B5">
        <w:trPr>
          <w:trHeight w:val="749"/>
        </w:trPr>
        <w:tc>
          <w:tcPr>
            <w:tcW w:w="4680" w:type="dxa"/>
            <w:tcBorders>
              <w:top w:val="single" w:sz="4" w:space="0" w:color="C5DDD9"/>
              <w:left w:val="single" w:sz="4" w:space="0" w:color="C5DDD9"/>
              <w:bottom w:val="single" w:sz="4" w:space="0" w:color="C5DDD9"/>
              <w:right w:val="single" w:sz="4" w:space="0" w:color="C5DDD9"/>
            </w:tcBorders>
            <w:shd w:val="clear" w:color="auto" w:fill="F5F8FC"/>
            <w:tcMar>
              <w:top w:w="55" w:type="dxa"/>
              <w:left w:w="110" w:type="dxa"/>
              <w:bottom w:w="55" w:type="dxa"/>
              <w:right w:w="110" w:type="dxa"/>
            </w:tcMar>
          </w:tcPr>
          <w:p w14:paraId="379F7782" w14:textId="77777777" w:rsidR="008B6C73" w:rsidRDefault="00000000">
            <w:r>
              <w:rPr>
                <w:rFonts w:ascii="Calibri" w:eastAsia="Calibri" w:hAnsi="Calibri" w:cs="Calibri"/>
                <w:color w:val="1A1A1A"/>
                <w:sz w:val="16"/>
                <w:szCs w:val="16"/>
              </w:rPr>
              <w:t>Mayor Wu's public commitment (State of the City) created political accountability for utility partners</w:t>
            </w:r>
          </w:p>
        </w:tc>
        <w:tc>
          <w:tcPr>
            <w:tcW w:w="4680" w:type="dxa"/>
            <w:tcBorders>
              <w:top w:val="single" w:sz="4" w:space="0" w:color="C5DDD9"/>
              <w:left w:val="single" w:sz="4" w:space="0" w:color="C5DDD9"/>
              <w:bottom w:val="single" w:sz="4" w:space="0" w:color="C5DDD9"/>
              <w:right w:val="single" w:sz="4" w:space="0" w:color="C5DDD9"/>
            </w:tcBorders>
            <w:shd w:val="clear" w:color="auto" w:fill="F5F8FC"/>
            <w:tcMar>
              <w:top w:w="55" w:type="dxa"/>
              <w:left w:w="110" w:type="dxa"/>
              <w:bottom w:w="55" w:type="dxa"/>
              <w:right w:w="110" w:type="dxa"/>
            </w:tcMar>
          </w:tcPr>
          <w:p w14:paraId="7BB87F0E" w14:textId="77777777" w:rsidR="008B6C73" w:rsidRDefault="00000000">
            <w:r>
              <w:rPr>
                <w:rFonts w:ascii="Calibri" w:eastAsia="Calibri" w:hAnsi="Calibri" w:cs="Calibri"/>
                <w:color w:val="1A1A1A"/>
                <w:sz w:val="16"/>
                <w:szCs w:val="16"/>
              </w:rPr>
              <w:t>Cities willing to formalize the relationship through a binding MOU with specific, measurable targets</w:t>
            </w:r>
          </w:p>
        </w:tc>
      </w:tr>
    </w:tbl>
    <w:p w14:paraId="4559521E" w14:textId="77777777" w:rsidR="008B6C73" w:rsidRDefault="008B6C73">
      <w:pPr>
        <w:spacing w:after="30"/>
      </w:pPr>
    </w:p>
    <w:p w14:paraId="0FEE22FA" w14:textId="79D382F6" w:rsidR="008B6C73" w:rsidRDefault="00000000" w:rsidP="00414EB6">
      <w:r>
        <w:br w:type="page"/>
      </w:r>
    </w:p>
    <w:sectPr w:rsidR="008B6C73">
      <w:pgSz w:w="12240" w:h="15840"/>
      <w:pgMar w:top="500" w:right="600" w:bottom="500" w:left="6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C87D26"/>
    <w:multiLevelType w:val="hybridMultilevel"/>
    <w:tmpl w:val="E0E8E45E"/>
    <w:lvl w:ilvl="0" w:tplc="88128A0C">
      <w:start w:val="1"/>
      <w:numFmt w:val="bullet"/>
      <w:lvlText w:val="●"/>
      <w:lvlJc w:val="left"/>
      <w:pPr>
        <w:ind w:left="720" w:hanging="360"/>
      </w:pPr>
    </w:lvl>
    <w:lvl w:ilvl="1" w:tplc="768A1AAC">
      <w:start w:val="1"/>
      <w:numFmt w:val="bullet"/>
      <w:lvlText w:val="○"/>
      <w:lvlJc w:val="left"/>
      <w:pPr>
        <w:ind w:left="1440" w:hanging="360"/>
      </w:pPr>
    </w:lvl>
    <w:lvl w:ilvl="2" w:tplc="B6D0F082">
      <w:start w:val="1"/>
      <w:numFmt w:val="bullet"/>
      <w:lvlText w:val="■"/>
      <w:lvlJc w:val="left"/>
      <w:pPr>
        <w:ind w:left="2160" w:hanging="360"/>
      </w:pPr>
    </w:lvl>
    <w:lvl w:ilvl="3" w:tplc="5DCE2D70">
      <w:start w:val="1"/>
      <w:numFmt w:val="bullet"/>
      <w:lvlText w:val="●"/>
      <w:lvlJc w:val="left"/>
      <w:pPr>
        <w:ind w:left="2880" w:hanging="360"/>
      </w:pPr>
    </w:lvl>
    <w:lvl w:ilvl="4" w:tplc="8AEE3AE0">
      <w:start w:val="1"/>
      <w:numFmt w:val="bullet"/>
      <w:lvlText w:val="○"/>
      <w:lvlJc w:val="left"/>
      <w:pPr>
        <w:ind w:left="3600" w:hanging="360"/>
      </w:pPr>
    </w:lvl>
    <w:lvl w:ilvl="5" w:tplc="07F21F5A">
      <w:start w:val="1"/>
      <w:numFmt w:val="bullet"/>
      <w:lvlText w:val="■"/>
      <w:lvlJc w:val="left"/>
      <w:pPr>
        <w:ind w:left="4320" w:hanging="360"/>
      </w:pPr>
    </w:lvl>
    <w:lvl w:ilvl="6" w:tplc="033EBC74">
      <w:start w:val="1"/>
      <w:numFmt w:val="bullet"/>
      <w:lvlText w:val="●"/>
      <w:lvlJc w:val="left"/>
      <w:pPr>
        <w:ind w:left="5040" w:hanging="360"/>
      </w:pPr>
    </w:lvl>
    <w:lvl w:ilvl="7" w:tplc="551EE14E">
      <w:start w:val="1"/>
      <w:numFmt w:val="bullet"/>
      <w:lvlText w:val="●"/>
      <w:lvlJc w:val="left"/>
      <w:pPr>
        <w:ind w:left="5760" w:hanging="360"/>
      </w:pPr>
    </w:lvl>
    <w:lvl w:ilvl="8" w:tplc="22A6AA80">
      <w:start w:val="1"/>
      <w:numFmt w:val="bullet"/>
      <w:lvlText w:val="●"/>
      <w:lvlJc w:val="left"/>
      <w:pPr>
        <w:ind w:left="6480" w:hanging="360"/>
      </w:pPr>
    </w:lvl>
  </w:abstractNum>
  <w:num w:numId="1" w16cid:durableId="1297687215">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1"/>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6C73"/>
    <w:rsid w:val="0005253A"/>
    <w:rsid w:val="000B5DC1"/>
    <w:rsid w:val="003B232E"/>
    <w:rsid w:val="003B72B5"/>
    <w:rsid w:val="00414EB6"/>
    <w:rsid w:val="005A46B9"/>
    <w:rsid w:val="00791327"/>
    <w:rsid w:val="008B6C73"/>
    <w:rsid w:val="00A71799"/>
    <w:rsid w:val="00D929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C5C03BD"/>
  <w15:docId w15:val="{DF4EEE37-1579-7F42-99F4-150BE56A5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483</Words>
  <Characters>2754</Characters>
  <Application>Microsoft Office Word</Application>
  <DocSecurity>0</DocSecurity>
  <Lines>22</Lines>
  <Paragraphs>6</Paragraphs>
  <ScaleCrop>false</ScaleCrop>
  <Company/>
  <LinksUpToDate>false</LinksUpToDate>
  <CharactersWithSpaces>3231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nkd2128</cp:lastModifiedBy>
  <cp:revision>2</cp:revision>
  <dcterms:created xsi:type="dcterms:W3CDTF">2026-07-11T01:12:00Z</dcterms:created>
  <dcterms:modified xsi:type="dcterms:W3CDTF">2026-07-11T01:12:00Z</dcterms:modified>
</cp:coreProperties>
</file>