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36234F" w14:textId="08EFFBA2" w:rsidR="008B6C73" w:rsidRDefault="008B6C73"/>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8B6C73" w14:paraId="552A1870" w14:textId="77777777">
        <w:tc>
          <w:tcPr>
            <w:tcW w:w="0" w:type="auto"/>
            <w:tcBorders>
              <w:top w:val="none" w:sz="0" w:space="0" w:color="FFFFFF"/>
              <w:left w:val="none" w:sz="0" w:space="0" w:color="FFFFFF"/>
              <w:bottom w:val="none" w:sz="0" w:space="0" w:color="FFFFFF"/>
              <w:right w:val="none" w:sz="0" w:space="0" w:color="FFFFFF"/>
            </w:tcBorders>
            <w:shd w:val="clear" w:color="auto" w:fill="3D1F5C"/>
            <w:tcMar>
              <w:top w:w="50" w:type="dxa"/>
              <w:left w:w="160" w:type="dxa"/>
              <w:bottom w:w="20" w:type="dxa"/>
              <w:right w:w="160" w:type="dxa"/>
            </w:tcMar>
          </w:tcPr>
          <w:p w14:paraId="1AF5722E" w14:textId="77777777" w:rsidR="008B6C73" w:rsidRDefault="00000000">
            <w:r>
              <w:rPr>
                <w:rFonts w:ascii="Calibri" w:eastAsia="Calibri" w:hAnsi="Calibri" w:cs="Calibri"/>
                <w:b/>
                <w:bCs/>
                <w:color w:val="BBCFCC"/>
                <w:sz w:val="13"/>
                <w:szCs w:val="13"/>
              </w:rPr>
              <w:t xml:space="preserve">PATHWAY </w:t>
            </w:r>
            <w:proofErr w:type="gramStart"/>
            <w:r>
              <w:rPr>
                <w:rFonts w:ascii="Calibri" w:eastAsia="Calibri" w:hAnsi="Calibri" w:cs="Calibri"/>
                <w:b/>
                <w:bCs/>
                <w:color w:val="BBCFCC"/>
                <w:sz w:val="13"/>
                <w:szCs w:val="13"/>
              </w:rPr>
              <w:t>3.3  ·</w:t>
            </w:r>
            <w:proofErr w:type="gramEnd"/>
            <w:r>
              <w:rPr>
                <w:rFonts w:ascii="Calibri" w:eastAsia="Calibri" w:hAnsi="Calibri" w:cs="Calibri"/>
                <w:b/>
                <w:bCs/>
                <w:color w:val="BBCFCC"/>
                <w:sz w:val="13"/>
                <w:szCs w:val="13"/>
              </w:rPr>
              <w:t xml:space="preserve">  ADVANCED PATHWAY — CAP-AND-INVEST / CARBON REVENUE REINVESTMENT</w:t>
            </w:r>
          </w:p>
        </w:tc>
      </w:tr>
      <w:tr w:rsidR="008B6C73" w14:paraId="38EE8E17" w14:textId="77777777">
        <w:tc>
          <w:tcPr>
            <w:tcW w:w="0" w:type="auto"/>
            <w:tcBorders>
              <w:top w:val="none" w:sz="0" w:space="0" w:color="FFFFFF"/>
              <w:left w:val="none" w:sz="0" w:space="0" w:color="FFFFFF"/>
              <w:bottom w:val="none" w:sz="0" w:space="0" w:color="FFFFFF"/>
              <w:right w:val="none" w:sz="0" w:space="0" w:color="FFFFFF"/>
            </w:tcBorders>
            <w:shd w:val="clear" w:color="auto" w:fill="3D1F5C"/>
            <w:tcMar>
              <w:top w:w="20" w:type="dxa"/>
              <w:left w:w="160" w:type="dxa"/>
              <w:bottom w:w="10" w:type="dxa"/>
              <w:right w:w="160" w:type="dxa"/>
            </w:tcMar>
          </w:tcPr>
          <w:p w14:paraId="4AF876B3" w14:textId="77777777" w:rsidR="008B6C73" w:rsidRDefault="00000000">
            <w:r>
              <w:rPr>
                <w:rFonts w:ascii="Calibri" w:eastAsia="Calibri" w:hAnsi="Calibri" w:cs="Calibri"/>
                <w:b/>
                <w:bCs/>
                <w:color w:val="FFFFFF"/>
                <w:sz w:val="46"/>
                <w:szCs w:val="46"/>
              </w:rPr>
              <w:t>California Cap-and-Trade Program</w:t>
            </w:r>
          </w:p>
        </w:tc>
      </w:tr>
      <w:tr w:rsidR="008B6C73" w14:paraId="1D1B447B" w14:textId="77777777">
        <w:tc>
          <w:tcPr>
            <w:tcW w:w="0" w:type="auto"/>
            <w:tcBorders>
              <w:top w:val="none" w:sz="0" w:space="0" w:color="FFFFFF"/>
              <w:left w:val="none" w:sz="0" w:space="0" w:color="FFFFFF"/>
              <w:bottom w:val="none" w:sz="0" w:space="0" w:color="FFFFFF"/>
              <w:right w:val="none" w:sz="0" w:space="0" w:color="FFFFFF"/>
            </w:tcBorders>
            <w:shd w:val="clear" w:color="auto" w:fill="3D1F5C"/>
            <w:tcMar>
              <w:top w:w="4" w:type="dxa"/>
              <w:left w:w="160" w:type="dxa"/>
              <w:bottom w:w="4" w:type="dxa"/>
              <w:right w:w="160" w:type="dxa"/>
            </w:tcMar>
          </w:tcPr>
          <w:p w14:paraId="32CDD2C3" w14:textId="77777777" w:rsidR="008B6C73" w:rsidRDefault="00000000">
            <w:r>
              <w:rPr>
                <w:rFonts w:ascii="Calibri" w:eastAsia="Calibri" w:hAnsi="Calibri" w:cs="Calibri"/>
                <w:b/>
                <w:bCs/>
                <w:color w:val="D8F0ED"/>
                <w:sz w:val="16"/>
                <w:szCs w:val="16"/>
              </w:rPr>
              <w:t>California Air Resources Board (</w:t>
            </w:r>
            <w:proofErr w:type="gramStart"/>
            <w:r>
              <w:rPr>
                <w:rFonts w:ascii="Calibri" w:eastAsia="Calibri" w:hAnsi="Calibri" w:cs="Calibri"/>
                <w:b/>
                <w:bCs/>
                <w:color w:val="D8F0ED"/>
                <w:sz w:val="16"/>
                <w:szCs w:val="16"/>
              </w:rPr>
              <w:t>CARB)  ·</w:t>
            </w:r>
            <w:proofErr w:type="gramEnd"/>
            <w:r>
              <w:rPr>
                <w:rFonts w:ascii="Calibri" w:eastAsia="Calibri" w:hAnsi="Calibri" w:cs="Calibri"/>
                <w:b/>
                <w:bCs/>
                <w:color w:val="D8F0ED"/>
                <w:sz w:val="16"/>
                <w:szCs w:val="16"/>
              </w:rPr>
              <w:t xml:space="preserve">  Est. </w:t>
            </w:r>
            <w:proofErr w:type="gramStart"/>
            <w:r>
              <w:rPr>
                <w:rFonts w:ascii="Calibri" w:eastAsia="Calibri" w:hAnsi="Calibri" w:cs="Calibri"/>
                <w:b/>
                <w:bCs/>
                <w:color w:val="D8F0ED"/>
                <w:sz w:val="16"/>
                <w:szCs w:val="16"/>
              </w:rPr>
              <w:t>2013  ·</w:t>
            </w:r>
            <w:proofErr w:type="gramEnd"/>
            <w:r>
              <w:rPr>
                <w:rFonts w:ascii="Calibri" w:eastAsia="Calibri" w:hAnsi="Calibri" w:cs="Calibri"/>
                <w:b/>
                <w:bCs/>
                <w:color w:val="D8F0ED"/>
                <w:sz w:val="16"/>
                <w:szCs w:val="16"/>
              </w:rPr>
              <w:t xml:space="preserve">  AB 32 &amp; Subsequent Legislation</w:t>
            </w:r>
          </w:p>
        </w:tc>
      </w:tr>
      <w:tr w:rsidR="008B6C73" w14:paraId="4CB72CCE" w14:textId="77777777">
        <w:tc>
          <w:tcPr>
            <w:tcW w:w="0" w:type="auto"/>
            <w:tcBorders>
              <w:top w:val="none" w:sz="0" w:space="0" w:color="FFFFFF"/>
              <w:left w:val="none" w:sz="0" w:space="0" w:color="FFFFFF"/>
              <w:bottom w:val="none" w:sz="0" w:space="0" w:color="FFFFFF"/>
              <w:right w:val="none" w:sz="0" w:space="0" w:color="FFFFFF"/>
            </w:tcBorders>
            <w:shd w:val="clear" w:color="auto" w:fill="2A1240"/>
            <w:tcMar>
              <w:top w:w="40" w:type="dxa"/>
              <w:left w:w="160" w:type="dxa"/>
              <w:bottom w:w="40" w:type="dxa"/>
              <w:right w:w="160" w:type="dxa"/>
            </w:tcMar>
          </w:tcPr>
          <w:p w14:paraId="3A1EDAA8" w14:textId="77777777" w:rsidR="008B6C73" w:rsidRDefault="00000000">
            <w:r>
              <w:rPr>
                <w:rFonts w:ascii="Calibri" w:eastAsia="Calibri" w:hAnsi="Calibri" w:cs="Calibri"/>
                <w:b/>
                <w:bCs/>
                <w:color w:val="C8A8F0"/>
                <w:sz w:val="15"/>
                <w:szCs w:val="15"/>
              </w:rPr>
              <w:t xml:space="preserve">$28B+ Climate Investments Over First </w:t>
            </w:r>
            <w:proofErr w:type="gramStart"/>
            <w:r>
              <w:rPr>
                <w:rFonts w:ascii="Calibri" w:eastAsia="Calibri" w:hAnsi="Calibri" w:cs="Calibri"/>
                <w:b/>
                <w:bCs/>
                <w:color w:val="C8A8F0"/>
                <w:sz w:val="15"/>
                <w:szCs w:val="15"/>
              </w:rPr>
              <w:t>Decade  ·</w:t>
            </w:r>
            <w:proofErr w:type="gramEnd"/>
            <w:r>
              <w:rPr>
                <w:rFonts w:ascii="Calibri" w:eastAsia="Calibri" w:hAnsi="Calibri" w:cs="Calibri"/>
                <w:b/>
                <w:bCs/>
                <w:color w:val="C8A8F0"/>
                <w:sz w:val="15"/>
                <w:szCs w:val="15"/>
              </w:rPr>
              <w:t xml:space="preserve">  Equity </w:t>
            </w:r>
            <w:proofErr w:type="gramStart"/>
            <w:r>
              <w:rPr>
                <w:rFonts w:ascii="Calibri" w:eastAsia="Calibri" w:hAnsi="Calibri" w:cs="Calibri"/>
                <w:b/>
                <w:bCs/>
                <w:color w:val="C8A8F0"/>
                <w:sz w:val="15"/>
                <w:szCs w:val="15"/>
              </w:rPr>
              <w:t>Targeting  ·</w:t>
            </w:r>
            <w:proofErr w:type="gramEnd"/>
            <w:r>
              <w:rPr>
                <w:rFonts w:ascii="Calibri" w:eastAsia="Calibri" w:hAnsi="Calibri" w:cs="Calibri"/>
                <w:b/>
                <w:bCs/>
                <w:color w:val="C8A8F0"/>
                <w:sz w:val="15"/>
                <w:szCs w:val="15"/>
              </w:rPr>
              <w:t xml:space="preserve">  Advanced Pathway</w:t>
            </w:r>
          </w:p>
        </w:tc>
      </w:tr>
    </w:tbl>
    <w:p w14:paraId="2A3EC982" w14:textId="77777777" w:rsidR="008B6C73" w:rsidRDefault="008B6C73">
      <w:pPr>
        <w:spacing w:after="40"/>
      </w:pPr>
    </w:p>
    <w:p w14:paraId="45C53E91" w14:textId="77777777" w:rsidR="008B6C73" w:rsidRDefault="008B6C73">
      <w:pPr>
        <w:pBdr>
          <w:bottom w:val="single" w:sz="6" w:space="1" w:color="C8B8E8"/>
        </w:pBdr>
      </w:pPr>
    </w:p>
    <w:p w14:paraId="3AFE1F50" w14:textId="77777777" w:rsidR="008B6C73" w:rsidRDefault="008B6C73">
      <w:pPr>
        <w:spacing w:after="3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5FBAED27" w14:textId="77777777">
        <w:tc>
          <w:tcPr>
            <w:tcW w:w="180" w:type="dxa"/>
            <w:tcBorders>
              <w:top w:val="none" w:sz="0" w:space="0" w:color="FFFFFF"/>
              <w:left w:val="none" w:sz="0" w:space="0" w:color="FFFFFF"/>
              <w:bottom w:val="none" w:sz="0" w:space="0" w:color="FFFFFF"/>
              <w:right w:val="none" w:sz="0" w:space="0" w:color="FFFFFF"/>
            </w:tcBorders>
            <w:shd w:val="clear" w:color="auto" w:fill="6B3FA0"/>
            <w:tcMar>
              <w:top w:w="0" w:type="dxa"/>
              <w:left w:w="0" w:type="dxa"/>
              <w:bottom w:w="0" w:type="dxa"/>
              <w:right w:w="0" w:type="dxa"/>
            </w:tcMar>
          </w:tcPr>
          <w:p w14:paraId="42040359"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2F014B85" w14:textId="77777777" w:rsidR="008B6C73" w:rsidRDefault="00000000">
            <w:r>
              <w:rPr>
                <w:rFonts w:ascii="Calibri" w:eastAsia="Calibri" w:hAnsi="Calibri" w:cs="Calibri"/>
                <w:b/>
                <w:bCs/>
                <w:color w:val="6B3FA0"/>
                <w:sz w:val="16"/>
                <w:szCs w:val="16"/>
              </w:rPr>
              <w:t>WHAT IS IT?</w:t>
            </w:r>
          </w:p>
        </w:tc>
      </w:tr>
    </w:tbl>
    <w:p w14:paraId="2128E815" w14:textId="77777777" w:rsidR="008B6C73" w:rsidRDefault="008B6C73">
      <w:pPr>
        <w:spacing w:after="25"/>
      </w:pPr>
    </w:p>
    <w:p w14:paraId="395C2B38" w14:textId="77777777" w:rsidR="008B6C73" w:rsidRDefault="00000000">
      <w:r>
        <w:rPr>
          <w:rFonts w:ascii="Calibri" w:eastAsia="Calibri" w:hAnsi="Calibri" w:cs="Calibri"/>
          <w:color w:val="1A1A1A"/>
          <w:sz w:val="16"/>
          <w:szCs w:val="16"/>
        </w:rPr>
        <w:t>California's Cap-and-Trade Program, administered by the Air Resources Board under AB 32 and subsequent legislation, has been operational since 2013 and is among the most established cap-and-invest schemes in North America. CARB conducts quarterly allowance auctions; proceeds flow into the Greenhouse Gas Reduction Fund and are reinvested through the California Climate Investments (CCI) framework, which includes explicit equity targeting and community benefit tracking for disadvantaged and low-income communities. The program provides a proven, replicable model for how cities in cap-and-trade states can advocate for — and benefit from — the reinvestment of carbon revenue toward local energy affordability and community benefit.</w:t>
      </w:r>
    </w:p>
    <w:p w14:paraId="1FF2E906" w14:textId="77777777" w:rsidR="008B6C73" w:rsidRDefault="008B6C73">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3D8EC58E" w14:textId="77777777">
        <w:tc>
          <w:tcPr>
            <w:tcW w:w="180" w:type="dxa"/>
            <w:tcBorders>
              <w:top w:val="none" w:sz="0" w:space="0" w:color="FFFFFF"/>
              <w:left w:val="none" w:sz="0" w:space="0" w:color="FFFFFF"/>
              <w:bottom w:val="none" w:sz="0" w:space="0" w:color="FFFFFF"/>
              <w:right w:val="none" w:sz="0" w:space="0" w:color="FFFFFF"/>
            </w:tcBorders>
            <w:shd w:val="clear" w:color="auto" w:fill="6B3FA0"/>
            <w:tcMar>
              <w:top w:w="0" w:type="dxa"/>
              <w:left w:w="0" w:type="dxa"/>
              <w:bottom w:w="0" w:type="dxa"/>
              <w:right w:w="0" w:type="dxa"/>
            </w:tcMar>
          </w:tcPr>
          <w:p w14:paraId="44E25150"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39564480" w14:textId="77777777" w:rsidR="008B6C73" w:rsidRDefault="00000000">
            <w:r>
              <w:rPr>
                <w:rFonts w:ascii="Calibri" w:eastAsia="Calibri" w:hAnsi="Calibri" w:cs="Calibri"/>
                <w:b/>
                <w:bCs/>
                <w:color w:val="6B3FA0"/>
                <w:sz w:val="16"/>
                <w:szCs w:val="16"/>
              </w:rPr>
              <w:t>DECADE OF REINVESTMENT (Cumulative Investment)</w:t>
            </w:r>
          </w:p>
        </w:tc>
      </w:tr>
    </w:tbl>
    <w:p w14:paraId="293DB75F" w14:textId="77777777" w:rsidR="008B6C73" w:rsidRDefault="008B6C73">
      <w:pPr>
        <w:spacing w:after="28"/>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00"/>
        <w:gridCol w:w="7060"/>
      </w:tblGrid>
      <w:tr w:rsidR="008B6C73" w14:paraId="5D4A8D1C" w14:textId="77777777">
        <w:tc>
          <w:tcPr>
            <w:tcW w:w="2300" w:type="dxa"/>
            <w:tcBorders>
              <w:top w:val="single" w:sz="4" w:space="0" w:color="C8B8E8"/>
              <w:left w:val="single" w:sz="4" w:space="0" w:color="C8B8E8"/>
              <w:bottom w:val="single" w:sz="4" w:space="0" w:color="C8B8E8"/>
              <w:right w:val="single" w:sz="4" w:space="0" w:color="C8B8E8"/>
            </w:tcBorders>
            <w:shd w:val="clear" w:color="auto" w:fill="EDE0F8"/>
            <w:tcMar>
              <w:top w:w="55" w:type="dxa"/>
              <w:left w:w="100" w:type="dxa"/>
              <w:bottom w:w="55" w:type="dxa"/>
              <w:right w:w="100" w:type="dxa"/>
            </w:tcMar>
          </w:tcPr>
          <w:p w14:paraId="3FB088BC" w14:textId="77777777" w:rsidR="008B6C73" w:rsidRDefault="00000000">
            <w:r>
              <w:rPr>
                <w:rFonts w:ascii="Calibri" w:eastAsia="Calibri" w:hAnsi="Calibri" w:cs="Calibri"/>
                <w:b/>
                <w:bCs/>
                <w:color w:val="3D1F5C"/>
                <w:sz w:val="16"/>
                <w:szCs w:val="16"/>
              </w:rPr>
              <w:t>2013–15</w:t>
            </w:r>
          </w:p>
        </w:tc>
        <w:tc>
          <w:tcPr>
            <w:tcW w:w="7060" w:type="dxa"/>
            <w:tcBorders>
              <w:top w:val="single" w:sz="4" w:space="0" w:color="C8B8E8"/>
              <w:left w:val="single" w:sz="4" w:space="0" w:color="C8B8E8"/>
              <w:bottom w:val="single" w:sz="4" w:space="0" w:color="C8B8E8"/>
              <w:right w:val="single" w:sz="4" w:space="0" w:color="C8B8E8"/>
            </w:tcBorders>
            <w:shd w:val="clear" w:color="auto" w:fill="FFFFFF"/>
            <w:tcMar>
              <w:top w:w="55" w:type="dxa"/>
              <w:left w:w="110" w:type="dxa"/>
              <w:bottom w:w="55" w:type="dxa"/>
              <w:right w:w="100" w:type="dxa"/>
            </w:tcMar>
          </w:tcPr>
          <w:p w14:paraId="727A6A3D" w14:textId="77777777" w:rsidR="008B6C73" w:rsidRDefault="00000000">
            <w:r>
              <w:rPr>
                <w:rFonts w:ascii="Calibri" w:eastAsia="Calibri" w:hAnsi="Calibri" w:cs="Calibri"/>
                <w:color w:val="1A1A1A"/>
                <w:sz w:val="16"/>
                <w:szCs w:val="16"/>
              </w:rPr>
              <w:t>$2.1B cumulative investment</w:t>
            </w:r>
          </w:p>
        </w:tc>
      </w:tr>
      <w:tr w:rsidR="008B6C73" w14:paraId="7A5962DD" w14:textId="77777777">
        <w:tc>
          <w:tcPr>
            <w:tcW w:w="2300" w:type="dxa"/>
            <w:tcBorders>
              <w:top w:val="single" w:sz="4" w:space="0" w:color="C8B8E8"/>
              <w:left w:val="single" w:sz="4" w:space="0" w:color="C8B8E8"/>
              <w:bottom w:val="single" w:sz="4" w:space="0" w:color="C8B8E8"/>
              <w:right w:val="single" w:sz="4" w:space="0" w:color="C8B8E8"/>
            </w:tcBorders>
            <w:shd w:val="clear" w:color="auto" w:fill="DDD0F0"/>
            <w:tcMar>
              <w:top w:w="55" w:type="dxa"/>
              <w:left w:w="100" w:type="dxa"/>
              <w:bottom w:w="55" w:type="dxa"/>
              <w:right w:w="100" w:type="dxa"/>
            </w:tcMar>
          </w:tcPr>
          <w:p w14:paraId="10145B31" w14:textId="77777777" w:rsidR="008B6C73" w:rsidRDefault="00000000">
            <w:r>
              <w:rPr>
                <w:rFonts w:ascii="Calibri" w:eastAsia="Calibri" w:hAnsi="Calibri" w:cs="Calibri"/>
                <w:b/>
                <w:bCs/>
                <w:color w:val="3D1F5C"/>
                <w:sz w:val="16"/>
                <w:szCs w:val="16"/>
              </w:rPr>
              <w:t>2016–17</w:t>
            </w:r>
          </w:p>
        </w:tc>
        <w:tc>
          <w:tcPr>
            <w:tcW w:w="7060" w:type="dxa"/>
            <w:tcBorders>
              <w:top w:val="single" w:sz="4" w:space="0" w:color="C8B8E8"/>
              <w:left w:val="single" w:sz="4" w:space="0" w:color="C8B8E8"/>
              <w:bottom w:val="single" w:sz="4" w:space="0" w:color="C8B8E8"/>
              <w:right w:val="single" w:sz="4" w:space="0" w:color="C8B8E8"/>
            </w:tcBorders>
            <w:shd w:val="clear" w:color="auto" w:fill="F5F8FC"/>
            <w:tcMar>
              <w:top w:w="55" w:type="dxa"/>
              <w:left w:w="110" w:type="dxa"/>
              <w:bottom w:w="55" w:type="dxa"/>
              <w:right w:w="100" w:type="dxa"/>
            </w:tcMar>
          </w:tcPr>
          <w:p w14:paraId="77FB2F7A" w14:textId="77777777" w:rsidR="008B6C73" w:rsidRDefault="00000000">
            <w:r>
              <w:rPr>
                <w:rFonts w:ascii="Calibri" w:eastAsia="Calibri" w:hAnsi="Calibri" w:cs="Calibri"/>
                <w:color w:val="1A1A1A"/>
                <w:sz w:val="16"/>
                <w:szCs w:val="16"/>
              </w:rPr>
              <w:t>$5.8B cumulative investment</w:t>
            </w:r>
          </w:p>
        </w:tc>
      </w:tr>
      <w:tr w:rsidR="008B6C73" w14:paraId="725EB2D9" w14:textId="77777777">
        <w:tc>
          <w:tcPr>
            <w:tcW w:w="2300" w:type="dxa"/>
            <w:tcBorders>
              <w:top w:val="single" w:sz="4" w:space="0" w:color="C8B8E8"/>
              <w:left w:val="single" w:sz="4" w:space="0" w:color="C8B8E8"/>
              <w:bottom w:val="single" w:sz="4" w:space="0" w:color="C8B8E8"/>
              <w:right w:val="single" w:sz="4" w:space="0" w:color="C8B8E8"/>
            </w:tcBorders>
            <w:shd w:val="clear" w:color="auto" w:fill="EDE0F8"/>
            <w:tcMar>
              <w:top w:w="55" w:type="dxa"/>
              <w:left w:w="100" w:type="dxa"/>
              <w:bottom w:w="55" w:type="dxa"/>
              <w:right w:w="100" w:type="dxa"/>
            </w:tcMar>
          </w:tcPr>
          <w:p w14:paraId="5232A8C0" w14:textId="77777777" w:rsidR="008B6C73" w:rsidRDefault="00000000">
            <w:r>
              <w:rPr>
                <w:rFonts w:ascii="Calibri" w:eastAsia="Calibri" w:hAnsi="Calibri" w:cs="Calibri"/>
                <w:b/>
                <w:bCs/>
                <w:color w:val="3D1F5C"/>
                <w:sz w:val="16"/>
                <w:szCs w:val="16"/>
              </w:rPr>
              <w:t>2018–19</w:t>
            </w:r>
          </w:p>
        </w:tc>
        <w:tc>
          <w:tcPr>
            <w:tcW w:w="7060" w:type="dxa"/>
            <w:tcBorders>
              <w:top w:val="single" w:sz="4" w:space="0" w:color="C8B8E8"/>
              <w:left w:val="single" w:sz="4" w:space="0" w:color="C8B8E8"/>
              <w:bottom w:val="single" w:sz="4" w:space="0" w:color="C8B8E8"/>
              <w:right w:val="single" w:sz="4" w:space="0" w:color="C8B8E8"/>
            </w:tcBorders>
            <w:shd w:val="clear" w:color="auto" w:fill="FFFFFF"/>
            <w:tcMar>
              <w:top w:w="55" w:type="dxa"/>
              <w:left w:w="110" w:type="dxa"/>
              <w:bottom w:w="55" w:type="dxa"/>
              <w:right w:w="100" w:type="dxa"/>
            </w:tcMar>
          </w:tcPr>
          <w:p w14:paraId="7C80C050" w14:textId="77777777" w:rsidR="008B6C73" w:rsidRDefault="00000000">
            <w:r>
              <w:rPr>
                <w:rFonts w:ascii="Calibri" w:eastAsia="Calibri" w:hAnsi="Calibri" w:cs="Calibri"/>
                <w:color w:val="1A1A1A"/>
                <w:sz w:val="16"/>
                <w:szCs w:val="16"/>
              </w:rPr>
              <w:t>$11.4B cumulative investment</w:t>
            </w:r>
          </w:p>
        </w:tc>
      </w:tr>
      <w:tr w:rsidR="008B6C73" w14:paraId="7A83619C" w14:textId="77777777">
        <w:tc>
          <w:tcPr>
            <w:tcW w:w="2300" w:type="dxa"/>
            <w:tcBorders>
              <w:top w:val="single" w:sz="4" w:space="0" w:color="C8B8E8"/>
              <w:left w:val="single" w:sz="4" w:space="0" w:color="C8B8E8"/>
              <w:bottom w:val="single" w:sz="4" w:space="0" w:color="C8B8E8"/>
              <w:right w:val="single" w:sz="4" w:space="0" w:color="C8B8E8"/>
            </w:tcBorders>
            <w:shd w:val="clear" w:color="auto" w:fill="DDD0F0"/>
            <w:tcMar>
              <w:top w:w="55" w:type="dxa"/>
              <w:left w:w="100" w:type="dxa"/>
              <w:bottom w:w="55" w:type="dxa"/>
              <w:right w:w="100" w:type="dxa"/>
            </w:tcMar>
          </w:tcPr>
          <w:p w14:paraId="36001D5A" w14:textId="77777777" w:rsidR="008B6C73" w:rsidRDefault="00000000">
            <w:r>
              <w:rPr>
                <w:rFonts w:ascii="Calibri" w:eastAsia="Calibri" w:hAnsi="Calibri" w:cs="Calibri"/>
                <w:b/>
                <w:bCs/>
                <w:color w:val="3D1F5C"/>
                <w:sz w:val="16"/>
                <w:szCs w:val="16"/>
              </w:rPr>
              <w:t>2020–21</w:t>
            </w:r>
          </w:p>
        </w:tc>
        <w:tc>
          <w:tcPr>
            <w:tcW w:w="7060" w:type="dxa"/>
            <w:tcBorders>
              <w:top w:val="single" w:sz="4" w:space="0" w:color="C8B8E8"/>
              <w:left w:val="single" w:sz="4" w:space="0" w:color="C8B8E8"/>
              <w:bottom w:val="single" w:sz="4" w:space="0" w:color="C8B8E8"/>
              <w:right w:val="single" w:sz="4" w:space="0" w:color="C8B8E8"/>
            </w:tcBorders>
            <w:shd w:val="clear" w:color="auto" w:fill="F5F8FC"/>
            <w:tcMar>
              <w:top w:w="55" w:type="dxa"/>
              <w:left w:w="110" w:type="dxa"/>
              <w:bottom w:w="55" w:type="dxa"/>
              <w:right w:w="100" w:type="dxa"/>
            </w:tcMar>
          </w:tcPr>
          <w:p w14:paraId="3D72DC8A" w14:textId="77777777" w:rsidR="008B6C73" w:rsidRDefault="00000000">
            <w:r>
              <w:rPr>
                <w:rFonts w:ascii="Calibri" w:eastAsia="Calibri" w:hAnsi="Calibri" w:cs="Calibri"/>
                <w:color w:val="1A1A1A"/>
                <w:sz w:val="16"/>
                <w:szCs w:val="16"/>
              </w:rPr>
              <w:t>$19.2B cumulative investment</w:t>
            </w:r>
          </w:p>
        </w:tc>
      </w:tr>
      <w:tr w:rsidR="008B6C73" w14:paraId="078E25A9" w14:textId="77777777">
        <w:tc>
          <w:tcPr>
            <w:tcW w:w="2300" w:type="dxa"/>
            <w:tcBorders>
              <w:top w:val="single" w:sz="4" w:space="0" w:color="C8B8E8"/>
              <w:left w:val="single" w:sz="4" w:space="0" w:color="C8B8E8"/>
              <w:bottom w:val="single" w:sz="4" w:space="0" w:color="C8B8E8"/>
              <w:right w:val="single" w:sz="4" w:space="0" w:color="C8B8E8"/>
            </w:tcBorders>
            <w:shd w:val="clear" w:color="auto" w:fill="EDE0F8"/>
            <w:tcMar>
              <w:top w:w="55" w:type="dxa"/>
              <w:left w:w="100" w:type="dxa"/>
              <w:bottom w:w="55" w:type="dxa"/>
              <w:right w:w="100" w:type="dxa"/>
            </w:tcMar>
          </w:tcPr>
          <w:p w14:paraId="1D44A8D1" w14:textId="77777777" w:rsidR="008B6C73" w:rsidRDefault="00000000">
            <w:r>
              <w:rPr>
                <w:rFonts w:ascii="Calibri" w:eastAsia="Calibri" w:hAnsi="Calibri" w:cs="Calibri"/>
                <w:b/>
                <w:bCs/>
                <w:color w:val="3D1F5C"/>
                <w:sz w:val="16"/>
                <w:szCs w:val="16"/>
              </w:rPr>
              <w:t>2022–23 (Decade Total)</w:t>
            </w:r>
          </w:p>
        </w:tc>
        <w:tc>
          <w:tcPr>
            <w:tcW w:w="7060" w:type="dxa"/>
            <w:tcBorders>
              <w:top w:val="single" w:sz="4" w:space="0" w:color="C8B8E8"/>
              <w:left w:val="single" w:sz="4" w:space="0" w:color="C8B8E8"/>
              <w:bottom w:val="single" w:sz="4" w:space="0" w:color="C8B8E8"/>
              <w:right w:val="single" w:sz="4" w:space="0" w:color="C8B8E8"/>
            </w:tcBorders>
            <w:shd w:val="clear" w:color="auto" w:fill="FFFFFF"/>
            <w:tcMar>
              <w:top w:w="55" w:type="dxa"/>
              <w:left w:w="110" w:type="dxa"/>
              <w:bottom w:w="55" w:type="dxa"/>
              <w:right w:w="100" w:type="dxa"/>
            </w:tcMar>
          </w:tcPr>
          <w:p w14:paraId="6E0D193D" w14:textId="77777777" w:rsidR="008B6C73" w:rsidRDefault="00000000">
            <w:r>
              <w:rPr>
                <w:rFonts w:ascii="Calibri" w:eastAsia="Calibri" w:hAnsi="Calibri" w:cs="Calibri"/>
                <w:color w:val="1A1A1A"/>
                <w:sz w:val="16"/>
                <w:szCs w:val="16"/>
              </w:rPr>
              <w:t>$28B+ cumulative investment</w:t>
            </w:r>
          </w:p>
        </w:tc>
      </w:tr>
    </w:tbl>
    <w:p w14:paraId="73477878" w14:textId="77777777" w:rsidR="008B6C73" w:rsidRDefault="008B6C73">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476E0C52" w14:textId="77777777">
        <w:tc>
          <w:tcPr>
            <w:tcW w:w="180" w:type="dxa"/>
            <w:tcBorders>
              <w:top w:val="none" w:sz="0" w:space="0" w:color="FFFFFF"/>
              <w:left w:val="none" w:sz="0" w:space="0" w:color="FFFFFF"/>
              <w:bottom w:val="none" w:sz="0" w:space="0" w:color="FFFFFF"/>
              <w:right w:val="none" w:sz="0" w:space="0" w:color="FFFFFF"/>
            </w:tcBorders>
            <w:shd w:val="clear" w:color="auto" w:fill="6B3FA0"/>
            <w:tcMar>
              <w:top w:w="0" w:type="dxa"/>
              <w:left w:w="0" w:type="dxa"/>
              <w:bottom w:w="0" w:type="dxa"/>
              <w:right w:w="0" w:type="dxa"/>
            </w:tcMar>
          </w:tcPr>
          <w:p w14:paraId="17E576A7"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59059D3D" w14:textId="77777777" w:rsidR="008B6C73" w:rsidRDefault="00000000">
            <w:r>
              <w:rPr>
                <w:rFonts w:ascii="Calibri" w:eastAsia="Calibri" w:hAnsi="Calibri" w:cs="Calibri"/>
                <w:b/>
                <w:bCs/>
                <w:color w:val="6B3FA0"/>
                <w:sz w:val="16"/>
                <w:szCs w:val="16"/>
              </w:rPr>
              <w:t>HOW IT WORKS</w:t>
            </w:r>
          </w:p>
        </w:tc>
      </w:tr>
    </w:tbl>
    <w:p w14:paraId="63DB737D" w14:textId="77777777" w:rsidR="008B6C73" w:rsidRDefault="008B6C73">
      <w:pPr>
        <w:spacing w:after="28"/>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8B6C73" w14:paraId="3F496C41" w14:textId="77777777">
        <w:tc>
          <w:tcPr>
            <w:tcW w:w="4680" w:type="dxa"/>
            <w:tcBorders>
              <w:top w:val="single" w:sz="4" w:space="0" w:color="C8B8E8"/>
              <w:left w:val="single" w:sz="4" w:space="0" w:color="C8B8E8"/>
              <w:bottom w:val="single" w:sz="4" w:space="0" w:color="C8B8E8"/>
              <w:right w:val="single" w:sz="4" w:space="0" w:color="C8B8E8"/>
            </w:tcBorders>
            <w:shd w:val="clear" w:color="auto" w:fill="EDF4FC"/>
            <w:tcMar>
              <w:top w:w="60" w:type="dxa"/>
              <w:left w:w="110" w:type="dxa"/>
              <w:bottom w:w="65" w:type="dxa"/>
              <w:right w:w="110" w:type="dxa"/>
            </w:tcMar>
          </w:tcPr>
          <w:p w14:paraId="74EA6A1C" w14:textId="77777777" w:rsidR="008B6C73" w:rsidRDefault="00000000">
            <w:pPr>
              <w:spacing w:after="30"/>
            </w:pPr>
            <w:r>
              <w:rPr>
                <w:rFonts w:ascii="Calibri" w:eastAsia="Calibri" w:hAnsi="Calibri" w:cs="Calibri"/>
                <w:b/>
                <w:bCs/>
                <w:color w:val="6B3FA0"/>
                <w:sz w:val="16"/>
                <w:szCs w:val="16"/>
              </w:rPr>
              <w:t>① Cap Declines Annually</w:t>
            </w:r>
          </w:p>
          <w:p w14:paraId="5FF59CFF" w14:textId="77777777" w:rsidR="008B6C73" w:rsidRDefault="00000000">
            <w:r>
              <w:rPr>
                <w:rFonts w:ascii="Calibri" w:eastAsia="Calibri" w:hAnsi="Calibri" w:cs="Calibri"/>
                <w:color w:val="1A1A1A"/>
                <w:sz w:val="16"/>
                <w:szCs w:val="16"/>
              </w:rPr>
              <w:t>CARB sets a statewide cap on greenhouse gas emissions from covered sectors. The cap declines each year, creating a market incentive for emission reductions.</w:t>
            </w:r>
          </w:p>
        </w:tc>
        <w:tc>
          <w:tcPr>
            <w:tcW w:w="4680" w:type="dxa"/>
            <w:tcBorders>
              <w:top w:val="single" w:sz="4" w:space="0" w:color="C8B8E8"/>
              <w:left w:val="single" w:sz="4" w:space="0" w:color="C8B8E8"/>
              <w:bottom w:val="single" w:sz="4" w:space="0" w:color="C8B8E8"/>
              <w:right w:val="single" w:sz="4" w:space="0" w:color="C8B8E8"/>
            </w:tcBorders>
            <w:shd w:val="clear" w:color="auto" w:fill="F5F8FC"/>
            <w:tcMar>
              <w:top w:w="60" w:type="dxa"/>
              <w:left w:w="110" w:type="dxa"/>
              <w:bottom w:w="65" w:type="dxa"/>
              <w:right w:w="110" w:type="dxa"/>
            </w:tcMar>
          </w:tcPr>
          <w:p w14:paraId="6C94C0F8" w14:textId="77777777" w:rsidR="008B6C73" w:rsidRDefault="00000000">
            <w:pPr>
              <w:spacing w:after="30"/>
            </w:pPr>
            <w:r>
              <w:rPr>
                <w:rFonts w:ascii="Calibri" w:eastAsia="Calibri" w:hAnsi="Calibri" w:cs="Calibri"/>
                <w:b/>
                <w:bCs/>
                <w:color w:val="6B3FA0"/>
                <w:sz w:val="16"/>
                <w:szCs w:val="16"/>
              </w:rPr>
              <w:t>② Quarterly Allowance Auctions</w:t>
            </w:r>
          </w:p>
          <w:p w14:paraId="21BBDE3C" w14:textId="77777777" w:rsidR="008B6C73" w:rsidRDefault="00000000">
            <w:r>
              <w:rPr>
                <w:rFonts w:ascii="Calibri" w:eastAsia="Calibri" w:hAnsi="Calibri" w:cs="Calibri"/>
                <w:color w:val="1A1A1A"/>
                <w:sz w:val="16"/>
                <w:szCs w:val="16"/>
              </w:rPr>
              <w:t>CARB conducts quarterly auctions where covered companies bid for allowances. All proceeds flow to the Greenhouse Gas Reduction Fund.</w:t>
            </w:r>
          </w:p>
        </w:tc>
      </w:tr>
      <w:tr w:rsidR="008B6C73" w14:paraId="060CC082" w14:textId="77777777">
        <w:tc>
          <w:tcPr>
            <w:tcW w:w="4680" w:type="dxa"/>
            <w:tcBorders>
              <w:top w:val="single" w:sz="4" w:space="0" w:color="C8B8E8"/>
              <w:left w:val="single" w:sz="4" w:space="0" w:color="C8B8E8"/>
              <w:bottom w:val="single" w:sz="4" w:space="0" w:color="C8B8E8"/>
              <w:right w:val="single" w:sz="4" w:space="0" w:color="C8B8E8"/>
            </w:tcBorders>
            <w:shd w:val="clear" w:color="auto" w:fill="F5F8FC"/>
            <w:tcMar>
              <w:top w:w="60" w:type="dxa"/>
              <w:left w:w="110" w:type="dxa"/>
              <w:bottom w:w="65" w:type="dxa"/>
              <w:right w:w="110" w:type="dxa"/>
            </w:tcMar>
          </w:tcPr>
          <w:p w14:paraId="7ECAC5E3" w14:textId="77777777" w:rsidR="008B6C73" w:rsidRDefault="00000000">
            <w:pPr>
              <w:spacing w:after="30"/>
            </w:pPr>
            <w:r>
              <w:rPr>
                <w:rFonts w:ascii="Calibri" w:eastAsia="Calibri" w:hAnsi="Calibri" w:cs="Calibri"/>
                <w:b/>
                <w:bCs/>
                <w:color w:val="6B3FA0"/>
                <w:sz w:val="16"/>
                <w:szCs w:val="16"/>
              </w:rPr>
              <w:t>③ California Climate Investments</w:t>
            </w:r>
          </w:p>
          <w:p w14:paraId="44169238" w14:textId="77777777" w:rsidR="008B6C73" w:rsidRDefault="00000000">
            <w:r>
              <w:rPr>
                <w:rFonts w:ascii="Calibri" w:eastAsia="Calibri" w:hAnsi="Calibri" w:cs="Calibri"/>
                <w:color w:val="1A1A1A"/>
                <w:sz w:val="16"/>
                <w:szCs w:val="16"/>
              </w:rPr>
              <w:t>Proceeds are reinvested through the CCI framework across multiple agencies and programs, with explicit equity targeting requiring investments in disadvantaged communities.</w:t>
            </w:r>
          </w:p>
        </w:tc>
        <w:tc>
          <w:tcPr>
            <w:tcW w:w="4680" w:type="dxa"/>
            <w:tcBorders>
              <w:top w:val="single" w:sz="4" w:space="0" w:color="C8B8E8"/>
              <w:left w:val="single" w:sz="4" w:space="0" w:color="C8B8E8"/>
              <w:bottom w:val="single" w:sz="4" w:space="0" w:color="C8B8E8"/>
              <w:right w:val="single" w:sz="4" w:space="0" w:color="C8B8E8"/>
            </w:tcBorders>
            <w:shd w:val="clear" w:color="auto" w:fill="EDF4FC"/>
            <w:tcMar>
              <w:top w:w="60" w:type="dxa"/>
              <w:left w:w="110" w:type="dxa"/>
              <w:bottom w:w="65" w:type="dxa"/>
              <w:right w:w="110" w:type="dxa"/>
            </w:tcMar>
          </w:tcPr>
          <w:p w14:paraId="30F458D1" w14:textId="77777777" w:rsidR="008B6C73" w:rsidRDefault="00000000">
            <w:pPr>
              <w:spacing w:after="30"/>
            </w:pPr>
            <w:r>
              <w:rPr>
                <w:rFonts w:ascii="Calibri" w:eastAsia="Calibri" w:hAnsi="Calibri" w:cs="Calibri"/>
                <w:b/>
                <w:bCs/>
                <w:color w:val="6B3FA0"/>
                <w:sz w:val="16"/>
                <w:szCs w:val="16"/>
              </w:rPr>
              <w:t>④ Community Benefit Tracking</w:t>
            </w:r>
          </w:p>
          <w:p w14:paraId="2900280A" w14:textId="77777777" w:rsidR="008B6C73" w:rsidRDefault="00000000">
            <w:r>
              <w:rPr>
                <w:rFonts w:ascii="Calibri" w:eastAsia="Calibri" w:hAnsi="Calibri" w:cs="Calibri"/>
                <w:color w:val="1A1A1A"/>
                <w:sz w:val="16"/>
                <w:szCs w:val="16"/>
              </w:rPr>
              <w:t>CARB tracks and publishes community benefit data, creating accountability for equity outcomes. Annual reports document investments by program area, geography, and community benefit category.</w:t>
            </w:r>
          </w:p>
        </w:tc>
      </w:tr>
    </w:tbl>
    <w:p w14:paraId="3241E989" w14:textId="77777777" w:rsidR="008B6C73" w:rsidRDefault="008B6C73">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1EBDE721" w14:textId="77777777">
        <w:tc>
          <w:tcPr>
            <w:tcW w:w="180" w:type="dxa"/>
            <w:tcBorders>
              <w:top w:val="none" w:sz="0" w:space="0" w:color="FFFFFF"/>
              <w:left w:val="none" w:sz="0" w:space="0" w:color="FFFFFF"/>
              <w:bottom w:val="none" w:sz="0" w:space="0" w:color="FFFFFF"/>
              <w:right w:val="none" w:sz="0" w:space="0" w:color="FFFFFF"/>
            </w:tcBorders>
            <w:shd w:val="clear" w:color="auto" w:fill="6B3FA0"/>
            <w:tcMar>
              <w:top w:w="0" w:type="dxa"/>
              <w:left w:w="0" w:type="dxa"/>
              <w:bottom w:w="0" w:type="dxa"/>
              <w:right w:w="0" w:type="dxa"/>
            </w:tcMar>
          </w:tcPr>
          <w:p w14:paraId="25A8E9FD"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5C2551BF" w14:textId="77777777" w:rsidR="008B6C73" w:rsidRDefault="00000000">
            <w:r>
              <w:rPr>
                <w:rFonts w:ascii="Calibri" w:eastAsia="Calibri" w:hAnsi="Calibri" w:cs="Calibri"/>
                <w:b/>
                <w:bCs/>
                <w:color w:val="6B3FA0"/>
                <w:sz w:val="16"/>
                <w:szCs w:val="16"/>
              </w:rPr>
              <w:t>ENABLING CONDITIONS &amp; REPLICATION</w:t>
            </w:r>
          </w:p>
        </w:tc>
      </w:tr>
    </w:tbl>
    <w:p w14:paraId="76588F30" w14:textId="77777777" w:rsidR="008B6C73" w:rsidRDefault="008B6C73">
      <w:pPr>
        <w:spacing w:after="28"/>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8B6C73" w14:paraId="44CB9259" w14:textId="77777777">
        <w:tc>
          <w:tcPr>
            <w:tcW w:w="4680" w:type="dxa"/>
            <w:tcBorders>
              <w:top w:val="single" w:sz="4" w:space="0" w:color="C8B8E8"/>
              <w:left w:val="single" w:sz="4" w:space="0" w:color="C8B8E8"/>
              <w:bottom w:val="single" w:sz="4" w:space="0" w:color="C8B8E8"/>
              <w:right w:val="single" w:sz="4" w:space="0" w:color="C8B8E8"/>
            </w:tcBorders>
            <w:shd w:val="clear" w:color="auto" w:fill="6B3FA0"/>
            <w:tcMar>
              <w:top w:w="60" w:type="dxa"/>
              <w:left w:w="110" w:type="dxa"/>
              <w:bottom w:w="60" w:type="dxa"/>
              <w:right w:w="110" w:type="dxa"/>
            </w:tcMar>
          </w:tcPr>
          <w:p w14:paraId="3E7A191A" w14:textId="77777777" w:rsidR="008B6C73" w:rsidRDefault="00000000">
            <w:r>
              <w:rPr>
                <w:rFonts w:ascii="Calibri" w:eastAsia="Calibri" w:hAnsi="Calibri" w:cs="Calibri"/>
                <w:b/>
                <w:bCs/>
                <w:color w:val="FFFFFF"/>
                <w:sz w:val="16"/>
                <w:szCs w:val="16"/>
              </w:rPr>
              <w:t>What Made It Possible</w:t>
            </w:r>
          </w:p>
        </w:tc>
        <w:tc>
          <w:tcPr>
            <w:tcW w:w="4680" w:type="dxa"/>
            <w:tcBorders>
              <w:top w:val="single" w:sz="4" w:space="0" w:color="C8B8E8"/>
              <w:left w:val="single" w:sz="4" w:space="0" w:color="C8B8E8"/>
              <w:bottom w:val="single" w:sz="4" w:space="0" w:color="C8B8E8"/>
              <w:right w:val="single" w:sz="4" w:space="0" w:color="C8B8E8"/>
            </w:tcBorders>
            <w:shd w:val="clear" w:color="auto" w:fill="6B3FA0"/>
            <w:tcMar>
              <w:top w:w="60" w:type="dxa"/>
              <w:left w:w="110" w:type="dxa"/>
              <w:bottom w:w="60" w:type="dxa"/>
              <w:right w:w="110" w:type="dxa"/>
            </w:tcMar>
          </w:tcPr>
          <w:p w14:paraId="6D21CD3D" w14:textId="77777777" w:rsidR="008B6C73" w:rsidRDefault="00000000">
            <w:r>
              <w:rPr>
                <w:rFonts w:ascii="Calibri" w:eastAsia="Calibri" w:hAnsi="Calibri" w:cs="Calibri"/>
                <w:b/>
                <w:bCs/>
                <w:color w:val="FFFFFF"/>
                <w:sz w:val="16"/>
                <w:szCs w:val="16"/>
              </w:rPr>
              <w:t>Who Can Replicate This</w:t>
            </w:r>
          </w:p>
        </w:tc>
      </w:tr>
      <w:tr w:rsidR="008B6C73" w14:paraId="6BECE89C" w14:textId="77777777">
        <w:tc>
          <w:tcPr>
            <w:tcW w:w="4680" w:type="dxa"/>
            <w:tcBorders>
              <w:top w:val="single" w:sz="4" w:space="0" w:color="C8B8E8"/>
              <w:left w:val="single" w:sz="4" w:space="0" w:color="C8B8E8"/>
              <w:bottom w:val="single" w:sz="4" w:space="0" w:color="C8B8E8"/>
              <w:right w:val="single" w:sz="4" w:space="0" w:color="C8B8E8"/>
            </w:tcBorders>
            <w:shd w:val="clear" w:color="auto" w:fill="FFFFFF"/>
            <w:tcMar>
              <w:top w:w="55" w:type="dxa"/>
              <w:left w:w="110" w:type="dxa"/>
              <w:bottom w:w="55" w:type="dxa"/>
              <w:right w:w="110" w:type="dxa"/>
            </w:tcMar>
          </w:tcPr>
          <w:p w14:paraId="50BA3D78" w14:textId="77777777" w:rsidR="008B6C73" w:rsidRDefault="00000000">
            <w:r>
              <w:rPr>
                <w:rFonts w:ascii="Calibri" w:eastAsia="Calibri" w:hAnsi="Calibri" w:cs="Calibri"/>
                <w:color w:val="1A1A1A"/>
                <w:sz w:val="16"/>
                <w:szCs w:val="16"/>
              </w:rPr>
              <w:t>AB 32 provided the statutory mandate and CARB the administrative authority to design and enforce the program</w:t>
            </w:r>
          </w:p>
        </w:tc>
        <w:tc>
          <w:tcPr>
            <w:tcW w:w="4680" w:type="dxa"/>
            <w:tcBorders>
              <w:top w:val="single" w:sz="4" w:space="0" w:color="C8B8E8"/>
              <w:left w:val="single" w:sz="4" w:space="0" w:color="C8B8E8"/>
              <w:bottom w:val="single" w:sz="4" w:space="0" w:color="C8B8E8"/>
              <w:right w:val="single" w:sz="4" w:space="0" w:color="C8B8E8"/>
            </w:tcBorders>
            <w:shd w:val="clear" w:color="auto" w:fill="FFFFFF"/>
            <w:tcMar>
              <w:top w:w="55" w:type="dxa"/>
              <w:left w:w="110" w:type="dxa"/>
              <w:bottom w:w="55" w:type="dxa"/>
              <w:right w:w="110" w:type="dxa"/>
            </w:tcMar>
          </w:tcPr>
          <w:p w14:paraId="13D4F5F8" w14:textId="77777777" w:rsidR="008B6C73" w:rsidRDefault="00000000">
            <w:r>
              <w:rPr>
                <w:rFonts w:ascii="Calibri" w:eastAsia="Calibri" w:hAnsi="Calibri" w:cs="Calibri"/>
                <w:color w:val="1A1A1A"/>
                <w:sz w:val="16"/>
                <w:szCs w:val="16"/>
              </w:rPr>
              <w:t>Cities in California can engage CCI allocation processes to direct revenue toward local energy affordability programs</w:t>
            </w:r>
          </w:p>
        </w:tc>
      </w:tr>
      <w:tr w:rsidR="008B6C73" w14:paraId="03F79FB4" w14:textId="77777777">
        <w:tc>
          <w:tcPr>
            <w:tcW w:w="4680" w:type="dxa"/>
            <w:tcBorders>
              <w:top w:val="single" w:sz="4" w:space="0" w:color="C8B8E8"/>
              <w:left w:val="single" w:sz="4" w:space="0" w:color="C8B8E8"/>
              <w:bottom w:val="single" w:sz="4" w:space="0" w:color="C8B8E8"/>
              <w:right w:val="single" w:sz="4" w:space="0" w:color="C8B8E8"/>
            </w:tcBorders>
            <w:shd w:val="clear" w:color="auto" w:fill="F5F8FC"/>
            <w:tcMar>
              <w:top w:w="55" w:type="dxa"/>
              <w:left w:w="110" w:type="dxa"/>
              <w:bottom w:w="55" w:type="dxa"/>
              <w:right w:w="110" w:type="dxa"/>
            </w:tcMar>
          </w:tcPr>
          <w:p w14:paraId="7AA48761" w14:textId="77777777" w:rsidR="008B6C73" w:rsidRDefault="00000000">
            <w:r>
              <w:rPr>
                <w:rFonts w:ascii="Calibri" w:eastAsia="Calibri" w:hAnsi="Calibri" w:cs="Calibri"/>
                <w:color w:val="1A1A1A"/>
                <w:sz w:val="16"/>
                <w:szCs w:val="16"/>
              </w:rPr>
              <w:t>Quarterly auction mechanism generates a large, predictable, and recurring revenue stream</w:t>
            </w:r>
          </w:p>
        </w:tc>
        <w:tc>
          <w:tcPr>
            <w:tcW w:w="4680" w:type="dxa"/>
            <w:tcBorders>
              <w:top w:val="single" w:sz="4" w:space="0" w:color="C8B8E8"/>
              <w:left w:val="single" w:sz="4" w:space="0" w:color="C8B8E8"/>
              <w:bottom w:val="single" w:sz="4" w:space="0" w:color="C8B8E8"/>
              <w:right w:val="single" w:sz="4" w:space="0" w:color="C8B8E8"/>
            </w:tcBorders>
            <w:shd w:val="clear" w:color="auto" w:fill="F5F8FC"/>
            <w:tcMar>
              <w:top w:w="55" w:type="dxa"/>
              <w:left w:w="110" w:type="dxa"/>
              <w:bottom w:w="55" w:type="dxa"/>
              <w:right w:w="110" w:type="dxa"/>
            </w:tcMar>
          </w:tcPr>
          <w:p w14:paraId="14EA84DC" w14:textId="77777777" w:rsidR="008B6C73" w:rsidRDefault="00000000">
            <w:r>
              <w:rPr>
                <w:rFonts w:ascii="Calibri" w:eastAsia="Calibri" w:hAnsi="Calibri" w:cs="Calibri"/>
                <w:color w:val="1A1A1A"/>
                <w:sz w:val="16"/>
                <w:szCs w:val="16"/>
              </w:rPr>
              <w:t>Cities in states developing cap-and-invest programs should cite California's equity framework as a model</w:t>
            </w:r>
          </w:p>
        </w:tc>
      </w:tr>
      <w:tr w:rsidR="008B6C73" w14:paraId="14CE4968" w14:textId="77777777">
        <w:tc>
          <w:tcPr>
            <w:tcW w:w="4680" w:type="dxa"/>
            <w:tcBorders>
              <w:top w:val="single" w:sz="4" w:space="0" w:color="C8B8E8"/>
              <w:left w:val="single" w:sz="4" w:space="0" w:color="C8B8E8"/>
              <w:bottom w:val="single" w:sz="4" w:space="0" w:color="C8B8E8"/>
              <w:right w:val="single" w:sz="4" w:space="0" w:color="C8B8E8"/>
            </w:tcBorders>
            <w:shd w:val="clear" w:color="auto" w:fill="FFFFFF"/>
            <w:tcMar>
              <w:top w:w="55" w:type="dxa"/>
              <w:left w:w="110" w:type="dxa"/>
              <w:bottom w:w="55" w:type="dxa"/>
              <w:right w:w="110" w:type="dxa"/>
            </w:tcMar>
          </w:tcPr>
          <w:p w14:paraId="4DB65D35" w14:textId="77777777" w:rsidR="008B6C73" w:rsidRDefault="00000000">
            <w:r>
              <w:rPr>
                <w:rFonts w:ascii="Calibri" w:eastAsia="Calibri" w:hAnsi="Calibri" w:cs="Calibri"/>
                <w:color w:val="1A1A1A"/>
                <w:sz w:val="16"/>
                <w:szCs w:val="16"/>
              </w:rPr>
              <w:t>California Climate Investments framework creates a multi-agency reinvestment structure with equity accountability</w:t>
            </w:r>
          </w:p>
        </w:tc>
        <w:tc>
          <w:tcPr>
            <w:tcW w:w="4680" w:type="dxa"/>
            <w:tcBorders>
              <w:top w:val="single" w:sz="4" w:space="0" w:color="C8B8E8"/>
              <w:left w:val="single" w:sz="4" w:space="0" w:color="C8B8E8"/>
              <w:bottom w:val="single" w:sz="4" w:space="0" w:color="C8B8E8"/>
              <w:right w:val="single" w:sz="4" w:space="0" w:color="C8B8E8"/>
            </w:tcBorders>
            <w:shd w:val="clear" w:color="auto" w:fill="FFFFFF"/>
            <w:tcMar>
              <w:top w:w="55" w:type="dxa"/>
              <w:left w:w="110" w:type="dxa"/>
              <w:bottom w:w="55" w:type="dxa"/>
              <w:right w:w="110" w:type="dxa"/>
            </w:tcMar>
          </w:tcPr>
          <w:p w14:paraId="6822A985" w14:textId="77777777" w:rsidR="008B6C73" w:rsidRDefault="00000000">
            <w:r>
              <w:rPr>
                <w:rFonts w:ascii="Calibri" w:eastAsia="Calibri" w:hAnsi="Calibri" w:cs="Calibri"/>
                <w:color w:val="1A1A1A"/>
                <w:sz w:val="16"/>
                <w:szCs w:val="16"/>
              </w:rPr>
              <w:t>Cities should build local program infrastructure to absorb cap-and-trade revenue at scale</w:t>
            </w:r>
          </w:p>
        </w:tc>
      </w:tr>
      <w:tr w:rsidR="008B6C73" w14:paraId="44D579D3" w14:textId="77777777">
        <w:tc>
          <w:tcPr>
            <w:tcW w:w="4680" w:type="dxa"/>
            <w:tcBorders>
              <w:top w:val="single" w:sz="4" w:space="0" w:color="C8B8E8"/>
              <w:left w:val="single" w:sz="4" w:space="0" w:color="C8B8E8"/>
              <w:bottom w:val="single" w:sz="4" w:space="0" w:color="C8B8E8"/>
              <w:right w:val="single" w:sz="4" w:space="0" w:color="C8B8E8"/>
            </w:tcBorders>
            <w:shd w:val="clear" w:color="auto" w:fill="F5F8FC"/>
            <w:tcMar>
              <w:top w:w="55" w:type="dxa"/>
              <w:left w:w="110" w:type="dxa"/>
              <w:bottom w:w="55" w:type="dxa"/>
              <w:right w:w="110" w:type="dxa"/>
            </w:tcMar>
          </w:tcPr>
          <w:p w14:paraId="48E2D872" w14:textId="77777777" w:rsidR="008B6C73" w:rsidRDefault="00000000">
            <w:r>
              <w:rPr>
                <w:rFonts w:ascii="Calibri" w:eastAsia="Calibri" w:hAnsi="Calibri" w:cs="Calibri"/>
                <w:color w:val="1A1A1A"/>
                <w:sz w:val="16"/>
                <w:szCs w:val="16"/>
              </w:rPr>
              <w:t>Explicit statutory requirements direct benefits to disadvantaged communities (SB 535, AB 1550)</w:t>
            </w:r>
          </w:p>
        </w:tc>
        <w:tc>
          <w:tcPr>
            <w:tcW w:w="4680" w:type="dxa"/>
            <w:tcBorders>
              <w:top w:val="single" w:sz="4" w:space="0" w:color="C8B8E8"/>
              <w:left w:val="single" w:sz="4" w:space="0" w:color="C8B8E8"/>
              <w:bottom w:val="single" w:sz="4" w:space="0" w:color="C8B8E8"/>
              <w:right w:val="single" w:sz="4" w:space="0" w:color="C8B8E8"/>
            </w:tcBorders>
            <w:shd w:val="clear" w:color="auto" w:fill="F5F8FC"/>
            <w:tcMar>
              <w:top w:w="55" w:type="dxa"/>
              <w:left w:w="110" w:type="dxa"/>
              <w:bottom w:w="55" w:type="dxa"/>
              <w:right w:w="110" w:type="dxa"/>
            </w:tcMar>
          </w:tcPr>
          <w:p w14:paraId="41967A0F" w14:textId="77777777" w:rsidR="008B6C73" w:rsidRDefault="00000000">
            <w:r>
              <w:rPr>
                <w:rFonts w:ascii="Calibri" w:eastAsia="Calibri" w:hAnsi="Calibri" w:cs="Calibri"/>
                <w:color w:val="1A1A1A"/>
                <w:sz w:val="16"/>
                <w:szCs w:val="16"/>
              </w:rPr>
              <w:t>Cities advocating at the state level should push for direct city allocations rather than state agency pass-through</w:t>
            </w:r>
          </w:p>
        </w:tc>
      </w:tr>
      <w:tr w:rsidR="008B6C73" w14:paraId="4FFCEB62" w14:textId="77777777">
        <w:tc>
          <w:tcPr>
            <w:tcW w:w="4680" w:type="dxa"/>
            <w:tcBorders>
              <w:top w:val="single" w:sz="4" w:space="0" w:color="C8B8E8"/>
              <w:left w:val="single" w:sz="4" w:space="0" w:color="C8B8E8"/>
              <w:bottom w:val="single" w:sz="4" w:space="0" w:color="C8B8E8"/>
              <w:right w:val="single" w:sz="4" w:space="0" w:color="C8B8E8"/>
            </w:tcBorders>
            <w:shd w:val="clear" w:color="auto" w:fill="FFFFFF"/>
            <w:tcMar>
              <w:top w:w="55" w:type="dxa"/>
              <w:left w:w="110" w:type="dxa"/>
              <w:bottom w:w="55" w:type="dxa"/>
              <w:right w:w="110" w:type="dxa"/>
            </w:tcMar>
          </w:tcPr>
          <w:p w14:paraId="4CAF6E77" w14:textId="77777777" w:rsidR="008B6C73" w:rsidRDefault="00000000">
            <w:r>
              <w:rPr>
                <w:rFonts w:ascii="Calibri" w:eastAsia="Calibri" w:hAnsi="Calibri" w:cs="Calibri"/>
                <w:color w:val="1A1A1A"/>
                <w:sz w:val="16"/>
                <w:szCs w:val="16"/>
              </w:rPr>
              <w:t>Long operating history (since 2013) provides extensive evidence for other states and programs</w:t>
            </w:r>
          </w:p>
        </w:tc>
        <w:tc>
          <w:tcPr>
            <w:tcW w:w="4680" w:type="dxa"/>
            <w:tcBorders>
              <w:top w:val="single" w:sz="4" w:space="0" w:color="C8B8E8"/>
              <w:left w:val="single" w:sz="4" w:space="0" w:color="C8B8E8"/>
              <w:bottom w:val="single" w:sz="4" w:space="0" w:color="C8B8E8"/>
              <w:right w:val="single" w:sz="4" w:space="0" w:color="C8B8E8"/>
            </w:tcBorders>
            <w:shd w:val="clear" w:color="auto" w:fill="FFFFFF"/>
            <w:tcMar>
              <w:top w:w="55" w:type="dxa"/>
              <w:left w:w="110" w:type="dxa"/>
              <w:bottom w:w="55" w:type="dxa"/>
              <w:right w:w="110" w:type="dxa"/>
            </w:tcMar>
          </w:tcPr>
          <w:p w14:paraId="012DAAC5" w14:textId="77777777" w:rsidR="008B6C73" w:rsidRDefault="00000000">
            <w:r>
              <w:rPr>
                <w:rFonts w:ascii="Calibri" w:eastAsia="Calibri" w:hAnsi="Calibri" w:cs="Calibri"/>
                <w:color w:val="1A1A1A"/>
                <w:sz w:val="16"/>
                <w:szCs w:val="16"/>
              </w:rPr>
              <w:t>Cities outside California can study the CCI equity tracking model as an accountability framework</w:t>
            </w:r>
          </w:p>
        </w:tc>
      </w:tr>
    </w:tbl>
    <w:p w14:paraId="34DEE1B3" w14:textId="77777777" w:rsidR="008B6C73" w:rsidRDefault="008B6C73">
      <w:pPr>
        <w:spacing w:after="30"/>
      </w:pPr>
    </w:p>
    <w:p w14:paraId="65855FD3" w14:textId="1EA7B7C4" w:rsidR="008B6C73" w:rsidRDefault="008B6C73"/>
    <w:sectPr w:rsidR="008B6C73">
      <w:pgSz w:w="12240" w:h="15840"/>
      <w:pgMar w:top="500" w:right="600" w:bottom="500" w:left="6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C87D26"/>
    <w:multiLevelType w:val="hybridMultilevel"/>
    <w:tmpl w:val="E0E8E45E"/>
    <w:lvl w:ilvl="0" w:tplc="88128A0C">
      <w:start w:val="1"/>
      <w:numFmt w:val="bullet"/>
      <w:lvlText w:val="●"/>
      <w:lvlJc w:val="left"/>
      <w:pPr>
        <w:ind w:left="720" w:hanging="360"/>
      </w:pPr>
    </w:lvl>
    <w:lvl w:ilvl="1" w:tplc="768A1AAC">
      <w:start w:val="1"/>
      <w:numFmt w:val="bullet"/>
      <w:lvlText w:val="○"/>
      <w:lvlJc w:val="left"/>
      <w:pPr>
        <w:ind w:left="1440" w:hanging="360"/>
      </w:pPr>
    </w:lvl>
    <w:lvl w:ilvl="2" w:tplc="B6D0F082">
      <w:start w:val="1"/>
      <w:numFmt w:val="bullet"/>
      <w:lvlText w:val="■"/>
      <w:lvlJc w:val="left"/>
      <w:pPr>
        <w:ind w:left="2160" w:hanging="360"/>
      </w:pPr>
    </w:lvl>
    <w:lvl w:ilvl="3" w:tplc="5DCE2D70">
      <w:start w:val="1"/>
      <w:numFmt w:val="bullet"/>
      <w:lvlText w:val="●"/>
      <w:lvlJc w:val="left"/>
      <w:pPr>
        <w:ind w:left="2880" w:hanging="360"/>
      </w:pPr>
    </w:lvl>
    <w:lvl w:ilvl="4" w:tplc="8AEE3AE0">
      <w:start w:val="1"/>
      <w:numFmt w:val="bullet"/>
      <w:lvlText w:val="○"/>
      <w:lvlJc w:val="left"/>
      <w:pPr>
        <w:ind w:left="3600" w:hanging="360"/>
      </w:pPr>
    </w:lvl>
    <w:lvl w:ilvl="5" w:tplc="07F21F5A">
      <w:start w:val="1"/>
      <w:numFmt w:val="bullet"/>
      <w:lvlText w:val="■"/>
      <w:lvlJc w:val="left"/>
      <w:pPr>
        <w:ind w:left="4320" w:hanging="360"/>
      </w:pPr>
    </w:lvl>
    <w:lvl w:ilvl="6" w:tplc="033EBC74">
      <w:start w:val="1"/>
      <w:numFmt w:val="bullet"/>
      <w:lvlText w:val="●"/>
      <w:lvlJc w:val="left"/>
      <w:pPr>
        <w:ind w:left="5040" w:hanging="360"/>
      </w:pPr>
    </w:lvl>
    <w:lvl w:ilvl="7" w:tplc="551EE14E">
      <w:start w:val="1"/>
      <w:numFmt w:val="bullet"/>
      <w:lvlText w:val="●"/>
      <w:lvlJc w:val="left"/>
      <w:pPr>
        <w:ind w:left="5760" w:hanging="360"/>
      </w:pPr>
    </w:lvl>
    <w:lvl w:ilvl="8" w:tplc="22A6AA80">
      <w:start w:val="1"/>
      <w:numFmt w:val="bullet"/>
      <w:lvlText w:val="●"/>
      <w:lvlJc w:val="left"/>
      <w:pPr>
        <w:ind w:left="6480" w:hanging="360"/>
      </w:pPr>
    </w:lvl>
  </w:abstractNum>
  <w:num w:numId="1" w16cid:durableId="1297687215">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3"/>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C73"/>
    <w:rsid w:val="0005253A"/>
    <w:rsid w:val="000B5DC1"/>
    <w:rsid w:val="003B232E"/>
    <w:rsid w:val="003B72B5"/>
    <w:rsid w:val="005A46B9"/>
    <w:rsid w:val="0060212B"/>
    <w:rsid w:val="00791327"/>
    <w:rsid w:val="008B6C73"/>
    <w:rsid w:val="00A71799"/>
    <w:rsid w:val="00D92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5C03BD"/>
  <w15:docId w15:val="{DF4EEE37-1579-7F42-99F4-150BE56A5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477</Words>
  <Characters>2725</Characters>
  <Application>Microsoft Office Word</Application>
  <DocSecurity>0</DocSecurity>
  <Lines>22</Lines>
  <Paragraphs>6</Paragraphs>
  <ScaleCrop>false</ScaleCrop>
  <Company/>
  <LinksUpToDate>false</LinksUpToDate>
  <CharactersWithSpaces>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nkd2128</cp:lastModifiedBy>
  <cp:revision>2</cp:revision>
  <dcterms:created xsi:type="dcterms:W3CDTF">2026-07-11T02:05:00Z</dcterms:created>
  <dcterms:modified xsi:type="dcterms:W3CDTF">2026-07-11T02:05:00Z</dcterms:modified>
</cp:coreProperties>
</file>