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0D86EE62"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20" w:type="dxa"/>
              <w:left w:w="160" w:type="dxa"/>
              <w:bottom w:w="10" w:type="dxa"/>
              <w:right w:w="160" w:type="dxa"/>
            </w:tcMar>
          </w:tcPr>
          <w:p w14:paraId="218F323C" w14:textId="77777777" w:rsidR="008B6C73" w:rsidRDefault="00000000">
            <w:r>
              <w:rPr>
                <w:rFonts w:ascii="Calibri" w:eastAsia="Calibri" w:hAnsi="Calibri" w:cs="Calibri"/>
                <w:b/>
                <w:bCs/>
                <w:color w:val="FFFFFF"/>
                <w:sz w:val="46"/>
                <w:szCs w:val="46"/>
              </w:rPr>
              <w:t>Chicago Preservation Compact</w:t>
            </w:r>
          </w:p>
        </w:tc>
      </w:tr>
      <w:tr w:rsidR="008B6C73" w14:paraId="53F6DEF4"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4" w:type="dxa"/>
              <w:left w:w="160" w:type="dxa"/>
              <w:bottom w:w="4" w:type="dxa"/>
              <w:right w:w="160" w:type="dxa"/>
            </w:tcMar>
          </w:tcPr>
          <w:p w14:paraId="0C73DD20" w14:textId="77777777" w:rsidR="008B6C73" w:rsidRDefault="00000000">
            <w:r>
              <w:rPr>
                <w:rFonts w:ascii="Calibri" w:eastAsia="Calibri" w:hAnsi="Calibri" w:cs="Calibri"/>
                <w:b/>
                <w:bCs/>
                <w:color w:val="D8F0ED"/>
                <w:sz w:val="16"/>
                <w:szCs w:val="16"/>
              </w:rPr>
              <w:t>Community Investment Corporation (</w:t>
            </w:r>
            <w:proofErr w:type="gramStart"/>
            <w:r>
              <w:rPr>
                <w:rFonts w:ascii="Calibri" w:eastAsia="Calibri" w:hAnsi="Calibri" w:cs="Calibri"/>
                <w:b/>
                <w:bCs/>
                <w:color w:val="D8F0ED"/>
                <w:sz w:val="16"/>
                <w:szCs w:val="16"/>
              </w:rPr>
              <w:t>CIC)  ·</w:t>
            </w:r>
            <w:proofErr w:type="gramEnd"/>
            <w:r>
              <w:rPr>
                <w:rFonts w:ascii="Calibri" w:eastAsia="Calibri" w:hAnsi="Calibri" w:cs="Calibri"/>
                <w:b/>
                <w:bCs/>
                <w:color w:val="D8F0ED"/>
                <w:sz w:val="16"/>
                <w:szCs w:val="16"/>
              </w:rPr>
              <w:t xml:space="preserve">  Chicago, </w:t>
            </w:r>
            <w:proofErr w:type="gramStart"/>
            <w:r>
              <w:rPr>
                <w:rFonts w:ascii="Calibri" w:eastAsia="Calibri" w:hAnsi="Calibri" w:cs="Calibri"/>
                <w:b/>
                <w:bCs/>
                <w:color w:val="D8F0ED"/>
                <w:sz w:val="16"/>
                <w:szCs w:val="16"/>
              </w:rPr>
              <w:t>IL  ·</w:t>
            </w:r>
            <w:proofErr w:type="gramEnd"/>
            <w:r>
              <w:rPr>
                <w:rFonts w:ascii="Calibri" w:eastAsia="Calibri" w:hAnsi="Calibri" w:cs="Calibri"/>
                <w:b/>
                <w:bCs/>
                <w:color w:val="D8F0ED"/>
                <w:sz w:val="16"/>
                <w:szCs w:val="16"/>
              </w:rPr>
              <w:t xml:space="preserve">  Elevate Energy, Implementer</w:t>
            </w:r>
          </w:p>
        </w:tc>
      </w:tr>
      <w:tr w:rsidR="008B6C73" w14:paraId="239D03F1" w14:textId="77777777">
        <w:tc>
          <w:tcPr>
            <w:tcW w:w="0" w:type="auto"/>
            <w:tcBorders>
              <w:top w:val="none" w:sz="0" w:space="0" w:color="FFFFFF"/>
              <w:left w:val="none" w:sz="0" w:space="0" w:color="FFFFFF"/>
              <w:bottom w:val="none" w:sz="0" w:space="0" w:color="FFFFFF"/>
              <w:right w:val="none" w:sz="0" w:space="0" w:color="FFFFFF"/>
            </w:tcBorders>
            <w:shd w:val="clear" w:color="auto" w:fill="1B4332"/>
            <w:tcMar>
              <w:top w:w="40" w:type="dxa"/>
              <w:left w:w="160" w:type="dxa"/>
              <w:bottom w:w="40" w:type="dxa"/>
              <w:right w:w="160" w:type="dxa"/>
            </w:tcMar>
          </w:tcPr>
          <w:p w14:paraId="40D417AC" w14:textId="77777777" w:rsidR="008B6C73" w:rsidRDefault="00000000">
            <w:r>
              <w:rPr>
                <w:rFonts w:ascii="Calibri" w:eastAsia="Calibri" w:hAnsi="Calibri" w:cs="Calibri"/>
                <w:b/>
                <w:bCs/>
                <w:color w:val="B7E4C7"/>
                <w:sz w:val="15"/>
                <w:szCs w:val="15"/>
              </w:rPr>
              <w:t xml:space="preserve">26,000 Units · 633 </w:t>
            </w:r>
            <w:proofErr w:type="gramStart"/>
            <w:r>
              <w:rPr>
                <w:rFonts w:ascii="Calibri" w:eastAsia="Calibri" w:hAnsi="Calibri" w:cs="Calibri"/>
                <w:b/>
                <w:bCs/>
                <w:color w:val="B7E4C7"/>
                <w:sz w:val="15"/>
                <w:szCs w:val="15"/>
              </w:rPr>
              <w:t>Buildings  ·</w:t>
            </w:r>
            <w:proofErr w:type="gramEnd"/>
            <w:r>
              <w:rPr>
                <w:rFonts w:ascii="Calibri" w:eastAsia="Calibri" w:hAnsi="Calibri" w:cs="Calibri"/>
                <w:b/>
                <w:bCs/>
                <w:color w:val="B7E4C7"/>
                <w:sz w:val="15"/>
                <w:szCs w:val="15"/>
              </w:rPr>
              <w:t xml:space="preserve">  Public–Private </w:t>
            </w:r>
            <w:proofErr w:type="gramStart"/>
            <w:r>
              <w:rPr>
                <w:rFonts w:ascii="Calibri" w:eastAsia="Calibri" w:hAnsi="Calibri" w:cs="Calibri"/>
                <w:b/>
                <w:bCs/>
                <w:color w:val="B7E4C7"/>
                <w:sz w:val="15"/>
                <w:szCs w:val="15"/>
              </w:rPr>
              <w:t>Initiative  ·</w:t>
            </w:r>
            <w:proofErr w:type="gramEnd"/>
            <w:r>
              <w:rPr>
                <w:rFonts w:ascii="Calibri" w:eastAsia="Calibri" w:hAnsi="Calibri" w:cs="Calibri"/>
                <w:b/>
                <w:bCs/>
                <w:color w:val="B7E4C7"/>
                <w:sz w:val="15"/>
                <w:szCs w:val="15"/>
              </w:rPr>
              <w:t xml:space="preserve">  NOAH </w:t>
            </w:r>
            <w:proofErr w:type="gramStart"/>
            <w:r>
              <w:rPr>
                <w:rFonts w:ascii="Calibri" w:eastAsia="Calibri" w:hAnsi="Calibri" w:cs="Calibri"/>
                <w:b/>
                <w:bCs/>
                <w:color w:val="B7E4C7"/>
                <w:sz w:val="15"/>
                <w:szCs w:val="15"/>
              </w:rPr>
              <w:t>Preservation  ·</w:t>
            </w:r>
            <w:proofErr w:type="gramEnd"/>
            <w:r>
              <w:rPr>
                <w:rFonts w:ascii="Calibri" w:eastAsia="Calibri" w:hAnsi="Calibri" w:cs="Calibri"/>
                <w:b/>
                <w:bCs/>
                <w:color w:val="B7E4C7"/>
                <w:sz w:val="15"/>
                <w:szCs w:val="15"/>
              </w:rPr>
              <w:t xml:space="preserve">  Intermediate Pathway</w:t>
            </w:r>
          </w:p>
        </w:tc>
      </w:tr>
    </w:tbl>
    <w:p w14:paraId="59AD01F3" w14:textId="77777777" w:rsidR="008B6C73" w:rsidRDefault="008B6C73">
      <w:pPr>
        <w:spacing w:after="40"/>
      </w:pPr>
    </w:p>
    <w:p w14:paraId="5D30B977" w14:textId="77777777" w:rsidR="008B6C73" w:rsidRDefault="008B6C73">
      <w:pPr>
        <w:pBdr>
          <w:bottom w:val="single" w:sz="6" w:space="1" w:color="C5DDD9"/>
        </w:pBdr>
      </w:pPr>
    </w:p>
    <w:p w14:paraId="3148038A"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2CC551D"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32BCA1E5"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99BA317" w14:textId="77777777" w:rsidR="008B6C73" w:rsidRDefault="00000000">
            <w:r>
              <w:rPr>
                <w:rFonts w:ascii="Calibri" w:eastAsia="Calibri" w:hAnsi="Calibri" w:cs="Calibri"/>
                <w:b/>
                <w:bCs/>
                <w:color w:val="2D6A4F"/>
                <w:sz w:val="16"/>
                <w:szCs w:val="16"/>
              </w:rPr>
              <w:t>WHAT IS IT?</w:t>
            </w:r>
          </w:p>
        </w:tc>
      </w:tr>
    </w:tbl>
    <w:p w14:paraId="63EA165F" w14:textId="77777777" w:rsidR="008B6C73" w:rsidRDefault="008B6C73">
      <w:pPr>
        <w:spacing w:after="25"/>
      </w:pPr>
    </w:p>
    <w:p w14:paraId="26691660" w14:textId="77777777" w:rsidR="008B6C73" w:rsidRDefault="00000000">
      <w:r>
        <w:rPr>
          <w:rFonts w:ascii="Calibri" w:eastAsia="Calibri" w:hAnsi="Calibri" w:cs="Calibri"/>
          <w:color w:val="1A1A1A"/>
          <w:sz w:val="16"/>
          <w:szCs w:val="16"/>
        </w:rPr>
        <w:t>The Chicago Preservation Compact (CPC) is a public–private initiative focused on preserving naturally occurring affordable housing (NOAH) and reducing operating costs in multifamily buildings through energy-efficiency retrofits. The Compact is convened by the Community Investment Corporation (CIC), with Elevate Energy serving as the primary implementer responsible for building assessments, retrofit project management, and coordination with utility incentive programs. Key partners include the City of Chicago Department of Housing, ComEd, Peoples Gas, and the MacArthur Foundation, which originally funded the Compact's formation. The initiative is not authorized by statute — it emerged from a collaborative agreement among CIC, MacArthur, and city/utility partners. Funding comes from utility energy-efficiency portfolios (ICC-approved), philanthropic grants, Chicago Recovery Plan allocations (~$23M), CIC financing tools, and owner capital. To date, CPC partners have upgraded 26,000 units across 633 buildings, achieving up to 30% energy-use reduction per building.</w:t>
      </w:r>
    </w:p>
    <w:p w14:paraId="288C2EE1"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1E84D924"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24EF2496"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55B66D6" w14:textId="77777777" w:rsidR="008B6C73" w:rsidRDefault="00000000">
            <w:r>
              <w:rPr>
                <w:rFonts w:ascii="Calibri" w:eastAsia="Calibri" w:hAnsi="Calibri" w:cs="Calibri"/>
                <w:b/>
                <w:bCs/>
                <w:color w:val="2D6A4F"/>
                <w:sz w:val="16"/>
                <w:szCs w:val="16"/>
              </w:rPr>
              <w:t>EVIDENCE HIGHLIGHTS</w:t>
            </w:r>
          </w:p>
        </w:tc>
      </w:tr>
    </w:tbl>
    <w:p w14:paraId="698AF2CC"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4A62BD91"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12916935" w14:textId="77777777" w:rsidR="008B6C73" w:rsidRDefault="00000000">
            <w:r>
              <w:rPr>
                <w:rFonts w:ascii="Calibri" w:eastAsia="Calibri" w:hAnsi="Calibri" w:cs="Calibri"/>
                <w:b/>
                <w:bCs/>
                <w:color w:val="1B4332"/>
                <w:sz w:val="16"/>
                <w:szCs w:val="16"/>
              </w:rPr>
              <w:t>Units Upgraded</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6F7DDBB6" w14:textId="77777777" w:rsidR="008B6C73" w:rsidRDefault="00000000">
            <w:r>
              <w:rPr>
                <w:rFonts w:ascii="Calibri" w:eastAsia="Calibri" w:hAnsi="Calibri" w:cs="Calibri"/>
                <w:color w:val="1A1A1A"/>
                <w:sz w:val="16"/>
                <w:szCs w:val="16"/>
              </w:rPr>
              <w:t>26,000 units across 633 buildings — documented through Elevate Energy's multifamily retrofit evaluations</w:t>
            </w:r>
          </w:p>
        </w:tc>
      </w:tr>
      <w:tr w:rsidR="008B6C73" w14:paraId="7266F9B4"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490F459B" w14:textId="77777777" w:rsidR="008B6C73" w:rsidRDefault="00000000">
            <w:r>
              <w:rPr>
                <w:rFonts w:ascii="Calibri" w:eastAsia="Calibri" w:hAnsi="Calibri" w:cs="Calibri"/>
                <w:b/>
                <w:bCs/>
                <w:color w:val="1B4332"/>
                <w:sz w:val="16"/>
                <w:szCs w:val="16"/>
              </w:rPr>
              <w:t>Energy Savings</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69EE34A8" w14:textId="77777777" w:rsidR="008B6C73" w:rsidRDefault="00000000">
            <w:r>
              <w:rPr>
                <w:rFonts w:ascii="Calibri" w:eastAsia="Calibri" w:hAnsi="Calibri" w:cs="Calibri"/>
                <w:color w:val="1A1A1A"/>
                <w:sz w:val="16"/>
                <w:szCs w:val="16"/>
              </w:rPr>
              <w:t>Up to 30% energy-use reduction per building; measurable reductions in gas and electric consumption</w:t>
            </w:r>
          </w:p>
        </w:tc>
      </w:tr>
      <w:tr w:rsidR="008B6C73" w14:paraId="1081122E"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73866513" w14:textId="77777777" w:rsidR="008B6C73" w:rsidRDefault="00000000">
            <w:r>
              <w:rPr>
                <w:rFonts w:ascii="Calibri" w:eastAsia="Calibri" w:hAnsi="Calibri" w:cs="Calibri"/>
                <w:b/>
                <w:bCs/>
                <w:color w:val="1B4332"/>
                <w:sz w:val="16"/>
                <w:szCs w:val="16"/>
              </w:rPr>
              <w:t>Recovery Funding</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05E07F52" w14:textId="77777777" w:rsidR="008B6C73" w:rsidRDefault="00000000">
            <w:r>
              <w:rPr>
                <w:rFonts w:ascii="Calibri" w:eastAsia="Calibri" w:hAnsi="Calibri" w:cs="Calibri"/>
                <w:color w:val="1A1A1A"/>
                <w:sz w:val="16"/>
                <w:szCs w:val="16"/>
              </w:rPr>
              <w:t>~$23M in Chicago Recovery Plan allocations deployed alongside utility and philanthropic capital</w:t>
            </w:r>
          </w:p>
        </w:tc>
      </w:tr>
      <w:tr w:rsidR="008B6C73" w14:paraId="65E916CE"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42A33AB0" w14:textId="77777777" w:rsidR="008B6C73" w:rsidRDefault="00000000">
            <w:r>
              <w:rPr>
                <w:rFonts w:ascii="Calibri" w:eastAsia="Calibri" w:hAnsi="Calibri" w:cs="Calibri"/>
                <w:b/>
                <w:bCs/>
                <w:color w:val="1B4332"/>
                <w:sz w:val="16"/>
                <w:szCs w:val="16"/>
              </w:rPr>
              <w:t>Key Partners</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0B0F52D3" w14:textId="77777777" w:rsidR="008B6C73" w:rsidRDefault="00000000">
            <w:r>
              <w:rPr>
                <w:rFonts w:ascii="Calibri" w:eastAsia="Calibri" w:hAnsi="Calibri" w:cs="Calibri"/>
                <w:color w:val="1A1A1A"/>
                <w:sz w:val="16"/>
                <w:szCs w:val="16"/>
              </w:rPr>
              <w:t>City of Chicago Dept. of Housing, ComEd, Peoples Gas, MacArthur Foundation, CIC, Elevate Energy</w:t>
            </w:r>
          </w:p>
        </w:tc>
      </w:tr>
      <w:tr w:rsidR="008B6C73" w14:paraId="42BD51D9"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3A1CD8D8" w14:textId="77777777" w:rsidR="008B6C73" w:rsidRDefault="00000000">
            <w:r>
              <w:rPr>
                <w:rFonts w:ascii="Calibri" w:eastAsia="Calibri" w:hAnsi="Calibri" w:cs="Calibri"/>
                <w:b/>
                <w:bCs/>
                <w:color w:val="1B4332"/>
                <w:sz w:val="16"/>
                <w:szCs w:val="16"/>
              </w:rPr>
              <w:t>Enabling Structure</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7FB7A18B" w14:textId="77777777" w:rsidR="008B6C73" w:rsidRDefault="00000000">
            <w:r>
              <w:rPr>
                <w:rFonts w:ascii="Calibri" w:eastAsia="Calibri" w:hAnsi="Calibri" w:cs="Calibri"/>
                <w:color w:val="1A1A1A"/>
                <w:sz w:val="16"/>
                <w:szCs w:val="16"/>
              </w:rPr>
              <w:t>Voluntary collaboration — no state legislation required; convened through philanthropic and institutional leadership</w:t>
            </w:r>
          </w:p>
        </w:tc>
      </w:tr>
      <w:tr w:rsidR="008B6C73" w14:paraId="3B1BB665"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73F9D183" w14:textId="77777777" w:rsidR="008B6C73" w:rsidRDefault="00000000">
            <w:r>
              <w:rPr>
                <w:rFonts w:ascii="Calibri" w:eastAsia="Calibri" w:hAnsi="Calibri" w:cs="Calibri"/>
                <w:b/>
                <w:bCs/>
                <w:color w:val="1B4332"/>
                <w:sz w:val="16"/>
                <w:szCs w:val="16"/>
              </w:rPr>
              <w:t>National Evidence</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51E78D11" w14:textId="77777777" w:rsidR="008B6C73" w:rsidRDefault="00000000">
            <w:r>
              <w:rPr>
                <w:rFonts w:ascii="Calibri" w:eastAsia="Calibri" w:hAnsi="Calibri" w:cs="Calibri"/>
                <w:color w:val="1A1A1A"/>
                <w:sz w:val="16"/>
                <w:szCs w:val="16"/>
              </w:rPr>
              <w:t>Aligns with ACEEE 2020 and DOE Better Buildings Multifamily Portfolio evidence on operating cost reduction and affordability preservation</w:t>
            </w:r>
          </w:p>
        </w:tc>
      </w:tr>
    </w:tbl>
    <w:p w14:paraId="313105C7"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5623817"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40B768E7"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74035F1" w14:textId="77777777" w:rsidR="008B6C73" w:rsidRDefault="00000000">
            <w:r>
              <w:rPr>
                <w:rFonts w:ascii="Calibri" w:eastAsia="Calibri" w:hAnsi="Calibri" w:cs="Calibri"/>
                <w:b/>
                <w:bCs/>
                <w:color w:val="2D6A4F"/>
                <w:sz w:val="16"/>
                <w:szCs w:val="16"/>
              </w:rPr>
              <w:t>HOW IT WORKS</w:t>
            </w:r>
          </w:p>
        </w:tc>
      </w:tr>
    </w:tbl>
    <w:p w14:paraId="340EA685"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5FDCC964" w14:textId="77777777">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3116FFD4" w14:textId="77777777" w:rsidR="008B6C73" w:rsidRDefault="00000000">
            <w:pPr>
              <w:spacing w:after="30"/>
            </w:pPr>
            <w:r>
              <w:rPr>
                <w:rFonts w:ascii="Calibri" w:eastAsia="Calibri" w:hAnsi="Calibri" w:cs="Calibri"/>
                <w:b/>
                <w:bCs/>
                <w:color w:val="2D6A4F"/>
                <w:sz w:val="16"/>
                <w:szCs w:val="16"/>
              </w:rPr>
              <w:t>① Convening &amp; Coordination</w:t>
            </w:r>
          </w:p>
          <w:p w14:paraId="5A6134BE" w14:textId="77777777" w:rsidR="008B6C73" w:rsidRDefault="00000000">
            <w:r>
              <w:rPr>
                <w:rFonts w:ascii="Calibri" w:eastAsia="Calibri" w:hAnsi="Calibri" w:cs="Calibri"/>
                <w:color w:val="1A1A1A"/>
                <w:sz w:val="16"/>
                <w:szCs w:val="16"/>
              </w:rPr>
              <w:t>CIC convenes the Compact, aligning the City of Chicago Department of Housing, ComEd, Peoples Gas, and philanthropic partners around a shared preservation goal — without requiring statutory authorization.</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5E3136DC" w14:textId="77777777" w:rsidR="008B6C73" w:rsidRDefault="00000000">
            <w:pPr>
              <w:spacing w:after="30"/>
            </w:pPr>
            <w:r>
              <w:rPr>
                <w:rFonts w:ascii="Calibri" w:eastAsia="Calibri" w:hAnsi="Calibri" w:cs="Calibri"/>
                <w:b/>
                <w:bCs/>
                <w:color w:val="2D6A4F"/>
                <w:sz w:val="16"/>
                <w:szCs w:val="16"/>
              </w:rPr>
              <w:t>② Building Assessment &amp; Retrofit Management</w:t>
            </w:r>
          </w:p>
          <w:p w14:paraId="21128DF6" w14:textId="77777777" w:rsidR="008B6C73" w:rsidRDefault="00000000">
            <w:r>
              <w:rPr>
                <w:rFonts w:ascii="Calibri" w:eastAsia="Calibri" w:hAnsi="Calibri" w:cs="Calibri"/>
                <w:color w:val="1A1A1A"/>
                <w:sz w:val="16"/>
                <w:szCs w:val="16"/>
              </w:rPr>
              <w:t>Elevate Energy conducts building assessments, manages retrofit projects, and coordinates with utility incentive programs. This technical backbone ensures consistent project quality and maximizes energy savings.</w:t>
            </w:r>
          </w:p>
        </w:tc>
      </w:tr>
      <w:tr w:rsidR="008B6C73" w14:paraId="1767E08A"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3426F5EB" w14:textId="77777777" w:rsidR="008B6C73" w:rsidRDefault="00000000">
            <w:pPr>
              <w:spacing w:after="30"/>
            </w:pPr>
            <w:r>
              <w:rPr>
                <w:rFonts w:ascii="Calibri" w:eastAsia="Calibri" w:hAnsi="Calibri" w:cs="Calibri"/>
                <w:b/>
                <w:bCs/>
                <w:color w:val="2D6A4F"/>
                <w:sz w:val="16"/>
                <w:szCs w:val="16"/>
              </w:rPr>
              <w:t>③ Layered Funding Stack</w:t>
            </w:r>
          </w:p>
          <w:p w14:paraId="55B5041F" w14:textId="77777777" w:rsidR="008B6C73" w:rsidRDefault="00000000">
            <w:r>
              <w:rPr>
                <w:rFonts w:ascii="Calibri" w:eastAsia="Calibri" w:hAnsi="Calibri" w:cs="Calibri"/>
                <w:color w:val="1A1A1A"/>
                <w:sz w:val="16"/>
                <w:szCs w:val="16"/>
              </w:rPr>
              <w:t>Retrofit projects are financed through utility energy-efficiency portfolios (ICC-approved), philanthropic grants, Chicago Recovery Plan allocations (~$23M), CIC lending tools, and owner capital.</w:t>
            </w:r>
          </w:p>
        </w:tc>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1C6C0B9B" w14:textId="77777777" w:rsidR="008B6C73" w:rsidRDefault="00000000">
            <w:pPr>
              <w:spacing w:after="30"/>
            </w:pPr>
            <w:r>
              <w:rPr>
                <w:rFonts w:ascii="Calibri" w:eastAsia="Calibri" w:hAnsi="Calibri" w:cs="Calibri"/>
                <w:b/>
                <w:bCs/>
                <w:color w:val="2D6A4F"/>
                <w:sz w:val="16"/>
                <w:szCs w:val="16"/>
              </w:rPr>
              <w:t>④ NOAH &amp; Affordable Housing Focus</w:t>
            </w:r>
          </w:p>
          <w:p w14:paraId="7805F3D3" w14:textId="77777777" w:rsidR="008B6C73" w:rsidRDefault="00000000">
            <w:r>
              <w:rPr>
                <w:rFonts w:ascii="Calibri" w:eastAsia="Calibri" w:hAnsi="Calibri" w:cs="Calibri"/>
                <w:color w:val="1A1A1A"/>
                <w:sz w:val="16"/>
                <w:szCs w:val="16"/>
              </w:rPr>
              <w:t>The Compact specifically targets naturally occurring and regulated/subsidized multifamily buildings — filling the gap where building owners struggle to access affordable financing for efficiency upgrades.</w:t>
            </w:r>
          </w:p>
        </w:tc>
      </w:tr>
    </w:tbl>
    <w:p w14:paraId="071DBD6B"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3E6584A"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1AF85697"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441E927B" w14:textId="77777777" w:rsidR="008B6C73" w:rsidRDefault="00000000">
            <w:r>
              <w:rPr>
                <w:rFonts w:ascii="Calibri" w:eastAsia="Calibri" w:hAnsi="Calibri" w:cs="Calibri"/>
                <w:b/>
                <w:bCs/>
                <w:color w:val="2D6A4F"/>
                <w:sz w:val="16"/>
                <w:szCs w:val="16"/>
              </w:rPr>
              <w:t>ENABLING CONDITIONS &amp; REPLICATION</w:t>
            </w:r>
          </w:p>
        </w:tc>
      </w:tr>
    </w:tbl>
    <w:p w14:paraId="16D60665"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7CB25F81" w14:textId="77777777">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2BC01FAB"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048BA7D6" w14:textId="77777777" w:rsidR="008B6C73" w:rsidRDefault="00000000">
            <w:r>
              <w:rPr>
                <w:rFonts w:ascii="Calibri" w:eastAsia="Calibri" w:hAnsi="Calibri" w:cs="Calibri"/>
                <w:b/>
                <w:bCs/>
                <w:color w:val="FFFFFF"/>
                <w:sz w:val="16"/>
                <w:szCs w:val="16"/>
              </w:rPr>
              <w:t>Who Can Replicate This</w:t>
            </w:r>
          </w:p>
        </w:tc>
      </w:tr>
      <w:tr w:rsidR="008B6C73" w14:paraId="6C062F58"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6206E2DA" w14:textId="77777777" w:rsidR="008B6C73" w:rsidRDefault="00000000">
            <w:r>
              <w:rPr>
                <w:rFonts w:ascii="Calibri" w:eastAsia="Calibri" w:hAnsi="Calibri" w:cs="Calibri"/>
                <w:color w:val="1A1A1A"/>
                <w:sz w:val="16"/>
                <w:szCs w:val="16"/>
              </w:rPr>
              <w:t>MacArthur Foundation philanthropic leadership provided founding capital and convening credibility</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3D39C34D" w14:textId="77777777" w:rsidR="008B6C73" w:rsidRDefault="00000000">
            <w:r>
              <w:rPr>
                <w:rFonts w:ascii="Calibri" w:eastAsia="Calibri" w:hAnsi="Calibri" w:cs="Calibri"/>
                <w:color w:val="1A1A1A"/>
                <w:sz w:val="16"/>
                <w:szCs w:val="16"/>
              </w:rPr>
              <w:t>Cities with a philanthropic anchor or CDFIs willing to co-convene a multifamily preservation initiative</w:t>
            </w:r>
          </w:p>
        </w:tc>
      </w:tr>
      <w:tr w:rsidR="008B6C73" w14:paraId="1115D283"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44534305" w14:textId="77777777" w:rsidR="008B6C73" w:rsidRDefault="00000000">
            <w:r>
              <w:rPr>
                <w:rFonts w:ascii="Calibri" w:eastAsia="Calibri" w:hAnsi="Calibri" w:cs="Calibri"/>
                <w:color w:val="1A1A1A"/>
                <w:sz w:val="16"/>
                <w:szCs w:val="16"/>
              </w:rPr>
              <w:t>CIC's lending capacity and institutional relationships created a ready borrower pipeline</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493F00FD" w14:textId="77777777" w:rsidR="008B6C73" w:rsidRDefault="00000000">
            <w:r>
              <w:rPr>
                <w:rFonts w:ascii="Calibri" w:eastAsia="Calibri" w:hAnsi="Calibri" w:cs="Calibri"/>
                <w:color w:val="1A1A1A"/>
                <w:sz w:val="16"/>
                <w:szCs w:val="16"/>
              </w:rPr>
              <w:t>Cities with CDFIs capable of structuring and underwriting retrofit loans</w:t>
            </w:r>
          </w:p>
        </w:tc>
      </w:tr>
      <w:tr w:rsidR="008B6C73" w14:paraId="0D81C64C"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0D39B4F3" w14:textId="77777777" w:rsidR="008B6C73" w:rsidRDefault="00000000">
            <w:r>
              <w:rPr>
                <w:rFonts w:ascii="Calibri" w:eastAsia="Calibri" w:hAnsi="Calibri" w:cs="Calibri"/>
                <w:color w:val="1A1A1A"/>
                <w:sz w:val="16"/>
                <w:szCs w:val="16"/>
              </w:rPr>
              <w:t>Elevate Energy's established technical expertise provided a credible implementation partner</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79DF7B15" w14:textId="77777777" w:rsidR="008B6C73" w:rsidRDefault="00000000">
            <w:r>
              <w:rPr>
                <w:rFonts w:ascii="Calibri" w:eastAsia="Calibri" w:hAnsi="Calibri" w:cs="Calibri"/>
                <w:color w:val="1A1A1A"/>
                <w:sz w:val="16"/>
                <w:szCs w:val="16"/>
              </w:rPr>
              <w:t>Cities with a qualified technical implementing partner — a nonprofit, CDFI, or energy services organization</w:t>
            </w:r>
          </w:p>
        </w:tc>
      </w:tr>
      <w:tr w:rsidR="008B6C73" w14:paraId="5DFD6E50"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46A11A37" w14:textId="77777777" w:rsidR="008B6C73" w:rsidRDefault="00000000">
            <w:r>
              <w:rPr>
                <w:rFonts w:ascii="Calibri" w:eastAsia="Calibri" w:hAnsi="Calibri" w:cs="Calibri"/>
                <w:color w:val="1A1A1A"/>
                <w:sz w:val="16"/>
                <w:szCs w:val="16"/>
              </w:rPr>
              <w:t>ICC-approved utility energy-efficiency portfolios (ComEd, Peoples Gas) provided a reliable, recurring funding source</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2D778A32" w14:textId="77777777" w:rsidR="008B6C73" w:rsidRDefault="00000000">
            <w:r>
              <w:rPr>
                <w:rFonts w:ascii="Calibri" w:eastAsia="Calibri" w:hAnsi="Calibri" w:cs="Calibri"/>
                <w:color w:val="1A1A1A"/>
                <w:sz w:val="16"/>
                <w:szCs w:val="16"/>
              </w:rPr>
              <w:t>Cities where utilities operate ICC- or PUC-approved energy-efficiency portfolios</w:t>
            </w:r>
          </w:p>
        </w:tc>
      </w:tr>
      <w:tr w:rsidR="008B6C73" w14:paraId="4BC385FD"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5E7DDE35" w14:textId="77777777" w:rsidR="008B6C73" w:rsidRDefault="00000000">
            <w:r>
              <w:rPr>
                <w:rFonts w:ascii="Calibri" w:eastAsia="Calibri" w:hAnsi="Calibri" w:cs="Calibri"/>
                <w:color w:val="1A1A1A"/>
                <w:sz w:val="16"/>
                <w:szCs w:val="16"/>
              </w:rPr>
              <w:t>City of Chicago Department of Housing provided policy alignment and access to regulated housing portfolios</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1DC28DB8" w14:textId="77777777" w:rsidR="008B6C73" w:rsidRDefault="00000000">
            <w:r>
              <w:rPr>
                <w:rFonts w:ascii="Calibri" w:eastAsia="Calibri" w:hAnsi="Calibri" w:cs="Calibri"/>
                <w:color w:val="1A1A1A"/>
                <w:sz w:val="16"/>
                <w:szCs w:val="16"/>
              </w:rPr>
              <w:t>Cities with active housing agencies willing to align policy priorities</w:t>
            </w:r>
          </w:p>
        </w:tc>
      </w:tr>
      <w:tr w:rsidR="008B6C73" w14:paraId="7A94AA3F"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26F812F4" w14:textId="77777777" w:rsidR="008B6C73" w:rsidRDefault="00000000">
            <w:r>
              <w:rPr>
                <w:rFonts w:ascii="Calibri" w:eastAsia="Calibri" w:hAnsi="Calibri" w:cs="Calibri"/>
                <w:color w:val="1A1A1A"/>
                <w:sz w:val="16"/>
                <w:szCs w:val="16"/>
              </w:rPr>
              <w:t>Chicago Recovery Plan allocations (~$23M) supplemented philanthropic and utility capital, enabling scale</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15FBDE87" w14:textId="77777777" w:rsidR="008B6C73" w:rsidRDefault="00000000">
            <w:r>
              <w:rPr>
                <w:rFonts w:ascii="Calibri" w:eastAsia="Calibri" w:hAnsi="Calibri" w:cs="Calibri"/>
                <w:color w:val="1A1A1A"/>
                <w:sz w:val="16"/>
                <w:szCs w:val="16"/>
              </w:rPr>
              <w:t>Cities with access to federal recovery, climate, or resilience funding (ARP, IRA, CDBG)</w:t>
            </w:r>
          </w:p>
        </w:tc>
      </w:tr>
    </w:tbl>
    <w:p w14:paraId="34541E7C" w14:textId="77777777" w:rsidR="008B6C73" w:rsidRDefault="008B6C73">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25373C"/>
    <w:rsid w:val="003B232E"/>
    <w:rsid w:val="003B72B5"/>
    <w:rsid w:val="005A46B9"/>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639</Words>
  <Characters>3644</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2026-07-11T01:19:00Z</dcterms:created>
  <dcterms:modified xsi:type="dcterms:W3CDTF">2026-07-11T01:19:00Z</dcterms:modified>
</cp:coreProperties>
</file>