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1692B1" w14:textId="77777777" w:rsidR="00B32E4C" w:rsidRDefault="00B32E4C"/>
    <w:tbl>
      <w:tblPr>
        <w:tblW w:w="8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06"/>
      </w:tblGrid>
      <w:tr w:rsidR="00B32E4C" w14:paraId="368C9183" w14:textId="77777777" w:rsidTr="0059694E">
        <w:trPr>
          <w:trHeight w:val="116"/>
        </w:trPr>
        <w:tc>
          <w:tcPr>
            <w:tcW w:w="86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D1F5C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0680EC" w14:textId="77777777" w:rsidR="00B32E4C" w:rsidRDefault="00B32E4C" w:rsidP="00C66062">
            <w:r>
              <w:rPr>
                <w:rFonts w:ascii="Calibri" w:eastAsia="Calibri" w:hAnsi="Calibri" w:cs="Calibri"/>
                <w:b/>
                <w:bCs/>
                <w:color w:val="FFFFFF"/>
                <w:sz w:val="13"/>
                <w:szCs w:val="13"/>
              </w:rPr>
              <w:t xml:space="preserve">PATHWAY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FFFFFF"/>
                <w:sz w:val="13"/>
                <w:szCs w:val="13"/>
              </w:rPr>
              <w:t>3.2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FFFFFF"/>
                <w:sz w:val="13"/>
                <w:szCs w:val="13"/>
              </w:rPr>
              <w:t xml:space="preserve">  ADVANCED PATHWAY — UTILITY REGULATION</w:t>
            </w:r>
          </w:p>
        </w:tc>
      </w:tr>
      <w:tr w:rsidR="00B32E4C" w14:paraId="0FCB15D7" w14:textId="77777777" w:rsidTr="0059694E">
        <w:trPr>
          <w:trHeight w:val="414"/>
        </w:trPr>
        <w:tc>
          <w:tcPr>
            <w:tcW w:w="86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D1F5C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B715C5" w14:textId="77777777" w:rsidR="00B32E4C" w:rsidRPr="001D07B7" w:rsidRDefault="00B32E4C" w:rsidP="00C66062">
            <w:pPr>
              <w:rPr>
                <w:sz w:val="46"/>
                <w:szCs w:val="46"/>
              </w:rPr>
            </w:pPr>
            <w:r w:rsidRPr="001D07B7">
              <w:rPr>
                <w:rFonts w:ascii="Calibri" w:eastAsia="Calibri" w:hAnsi="Calibri" w:cs="Calibri"/>
                <w:b/>
                <w:bCs/>
                <w:color w:val="FFFFFF"/>
                <w:sz w:val="46"/>
                <w:szCs w:val="46"/>
              </w:rPr>
              <w:t>City Engagement in State Utility Rate Cases</w:t>
            </w:r>
          </w:p>
        </w:tc>
      </w:tr>
      <w:tr w:rsidR="00B32E4C" w14:paraId="23C6F343" w14:textId="77777777" w:rsidTr="0059694E">
        <w:trPr>
          <w:trHeight w:val="116"/>
        </w:trPr>
        <w:tc>
          <w:tcPr>
            <w:tcW w:w="86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D1F5C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118276" w14:textId="77777777" w:rsidR="00B32E4C" w:rsidRDefault="00B32E4C" w:rsidP="00C66062">
            <w:r>
              <w:rPr>
                <w:rFonts w:ascii="Calibri" w:eastAsia="Calibri" w:hAnsi="Calibri" w:cs="Calibri"/>
                <w:b/>
                <w:bCs/>
                <w:color w:val="FFFFFF"/>
                <w:sz w:val="13"/>
                <w:szCs w:val="13"/>
              </w:rPr>
              <w:t xml:space="preserve">NYC · El Paso, TX · Ann Arbor,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FFFFFF"/>
                <w:sz w:val="13"/>
                <w:szCs w:val="13"/>
              </w:rPr>
              <w:t>MI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FFFFFF"/>
                <w:sz w:val="13"/>
                <w:szCs w:val="13"/>
              </w:rPr>
              <w:t xml:space="preserve">  PSC/PUC Proceedings Across Three States</w:t>
            </w:r>
          </w:p>
        </w:tc>
      </w:tr>
      <w:tr w:rsidR="00B32E4C" w14:paraId="1AECF703" w14:textId="77777777" w:rsidTr="0059694E">
        <w:trPr>
          <w:trHeight w:val="99"/>
        </w:trPr>
        <w:tc>
          <w:tcPr>
            <w:tcW w:w="86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D1F5C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6F17B3" w14:textId="77777777" w:rsidR="00B32E4C" w:rsidRDefault="00B32E4C" w:rsidP="00C66062">
            <w:r>
              <w:rPr>
                <w:rFonts w:ascii="Calibri" w:eastAsia="Calibri" w:hAnsi="Calibri" w:cs="Calibri"/>
                <w:b/>
                <w:bCs/>
                <w:color w:val="FFFFFF"/>
                <w:sz w:val="12"/>
                <w:szCs w:val="12"/>
              </w:rPr>
              <w:t>NYC Intervenor since 1970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FFFFFF"/>
                <w:sz w:val="12"/>
                <w:szCs w:val="12"/>
              </w:rPr>
              <w:t>s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FFFFFF"/>
                <w:sz w:val="12"/>
                <w:szCs w:val="12"/>
              </w:rPr>
              <w:t xml:space="preserve">  El Paso PUC Docket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FFFFFF"/>
                <w:sz w:val="12"/>
                <w:szCs w:val="12"/>
              </w:rPr>
              <w:t>46831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FFFFFF"/>
                <w:sz w:val="12"/>
                <w:szCs w:val="12"/>
              </w:rPr>
              <w:t xml:space="preserve">  Ann Arbor MPSC U-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FFFFFF"/>
                <w:sz w:val="12"/>
                <w:szCs w:val="12"/>
              </w:rPr>
              <w:t>21860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FFFFFF"/>
                <w:sz w:val="12"/>
                <w:szCs w:val="12"/>
              </w:rPr>
              <w:t xml:space="preserve">  Advanced Pathway</w:t>
            </w:r>
          </w:p>
        </w:tc>
      </w:tr>
    </w:tbl>
    <w:p w14:paraId="0FCCDE6C" w14:textId="77777777" w:rsidR="00B32E4C" w:rsidRDefault="00B32E4C" w:rsidP="00B32E4C">
      <w:pPr>
        <w:spacing w:after="8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9180"/>
      </w:tblGrid>
      <w:tr w:rsidR="00B32E4C" w14:paraId="6164C2EA" w14:textId="77777777" w:rsidTr="00C66062">
        <w:tc>
          <w:tcPr>
            <w:tcW w:w="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6B3FA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D8EC8" w14:textId="77777777" w:rsidR="00B32E4C" w:rsidRDefault="00B32E4C" w:rsidP="00C66062"/>
        </w:tc>
        <w:tc>
          <w:tcPr>
            <w:tcW w:w="9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110" w:type="dxa"/>
              <w:bottom w:w="20" w:type="dxa"/>
              <w:right w:w="0" w:type="dxa"/>
            </w:tcMar>
          </w:tcPr>
          <w:p w14:paraId="08DB5551" w14:textId="77777777" w:rsidR="00B32E4C" w:rsidRDefault="00B32E4C" w:rsidP="00C66062">
            <w:r>
              <w:rPr>
                <w:rFonts w:ascii="Calibri" w:eastAsia="Calibri" w:hAnsi="Calibri" w:cs="Calibri"/>
                <w:b/>
                <w:bCs/>
                <w:color w:val="6B3FA0"/>
                <w:sz w:val="15"/>
                <w:szCs w:val="15"/>
              </w:rPr>
              <w:t>WHAT IS IT?</w:t>
            </w:r>
          </w:p>
        </w:tc>
      </w:tr>
    </w:tbl>
    <w:p w14:paraId="54774B05" w14:textId="77777777" w:rsidR="0059694E" w:rsidRDefault="0059694E" w:rsidP="00B32E4C">
      <w:pPr>
        <w:rPr>
          <w:rFonts w:ascii="Calibri" w:eastAsia="Calibri" w:hAnsi="Calibri" w:cs="Calibri"/>
          <w:color w:val="1A1A1A"/>
          <w:sz w:val="16"/>
          <w:szCs w:val="16"/>
        </w:rPr>
      </w:pPr>
    </w:p>
    <w:p w14:paraId="34764A2C" w14:textId="5A00317C" w:rsidR="00B32E4C" w:rsidRPr="00B32E4C" w:rsidRDefault="00B32E4C" w:rsidP="00B32E4C">
      <w:pPr>
        <w:rPr>
          <w:sz w:val="16"/>
          <w:szCs w:val="16"/>
        </w:rPr>
      </w:pPr>
      <w:r w:rsidRPr="00B32E4C">
        <w:rPr>
          <w:rFonts w:ascii="Calibri" w:eastAsia="Calibri" w:hAnsi="Calibri" w:cs="Calibri"/>
          <w:color w:val="1A1A1A"/>
          <w:sz w:val="16"/>
          <w:szCs w:val="16"/>
        </w:rPr>
        <w:t xml:space="preserve">State public utility commissions (PSCs/PUCs) regulate investor-owned utilities’ rates, programs, and capital investments. Cities that formally intervene can influence outcomes from the rates residents pay to the capital investments utilities make. </w:t>
      </w:r>
      <w:r w:rsidRPr="00B32E4C">
        <w:rPr>
          <w:rFonts w:ascii="Calibri" w:eastAsia="Calibri" w:hAnsi="Calibri" w:cs="Calibri"/>
          <w:b/>
          <w:bCs/>
          <w:color w:val="1A1A1A"/>
          <w:sz w:val="16"/>
          <w:szCs w:val="16"/>
        </w:rPr>
        <w:t>NYC</w:t>
      </w:r>
      <w:r w:rsidRPr="00B32E4C">
        <w:rPr>
          <w:rFonts w:ascii="Calibri" w:eastAsia="Calibri" w:hAnsi="Calibri" w:cs="Calibri"/>
          <w:color w:val="1A1A1A"/>
          <w:sz w:val="16"/>
          <w:szCs w:val="16"/>
        </w:rPr>
        <w:t xml:space="preserve"> has participated as a formal intervenor since the 1970s, fielding multi-panel testimony on affordability, capital scrutiny, and decarbonization. </w:t>
      </w:r>
      <w:r w:rsidRPr="00B32E4C">
        <w:rPr>
          <w:rFonts w:ascii="Calibri" w:eastAsia="Calibri" w:hAnsi="Calibri" w:cs="Calibri"/>
          <w:b/>
          <w:bCs/>
          <w:color w:val="1A1A1A"/>
          <w:sz w:val="16"/>
          <w:szCs w:val="16"/>
        </w:rPr>
        <w:t>El Paso, TX</w:t>
      </w:r>
      <w:r w:rsidRPr="00B32E4C">
        <w:rPr>
          <w:rFonts w:ascii="Calibri" w:eastAsia="Calibri" w:hAnsi="Calibri" w:cs="Calibri"/>
          <w:color w:val="1A1A1A"/>
          <w:sz w:val="16"/>
          <w:szCs w:val="16"/>
        </w:rPr>
        <w:t xml:space="preserve"> retained four law firms and six consulting firms to fight a proposed residential solar rate class and recovered its ~$504K in costs from the utility under Texas law. </w:t>
      </w:r>
      <w:r w:rsidRPr="00B32E4C">
        <w:rPr>
          <w:rFonts w:ascii="Calibri" w:eastAsia="Calibri" w:hAnsi="Calibri" w:cs="Calibri"/>
          <w:b/>
          <w:bCs/>
          <w:color w:val="1A1A1A"/>
          <w:sz w:val="16"/>
          <w:szCs w:val="16"/>
        </w:rPr>
        <w:t>Ann Arbor, MI</w:t>
      </w:r>
      <w:r w:rsidRPr="00B32E4C">
        <w:rPr>
          <w:rFonts w:ascii="Calibri" w:eastAsia="Calibri" w:hAnsi="Calibri" w:cs="Calibri"/>
          <w:color w:val="1A1A1A"/>
          <w:sz w:val="16"/>
          <w:szCs w:val="16"/>
        </w:rPr>
        <w:t xml:space="preserve"> deploys a lean in-house legal team supplemented by targeted outside consultants ($15K–$50K/engagement) for expert technical testimony, offset by a ~$70K Utility Protections Board grant. Rate cases are where affordability protections, low-income rate designs, and capital investment priorities are set — and cities have standing to shape all of them.</w:t>
      </w:r>
    </w:p>
    <w:p w14:paraId="390858EB" w14:textId="77777777" w:rsidR="00B32E4C" w:rsidRDefault="00B32E4C" w:rsidP="00B32E4C">
      <w:pPr>
        <w:spacing w:after="8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9180"/>
      </w:tblGrid>
      <w:tr w:rsidR="00B32E4C" w14:paraId="50020482" w14:textId="77777777" w:rsidTr="00C66062">
        <w:tc>
          <w:tcPr>
            <w:tcW w:w="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6B3FA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80E89" w14:textId="77777777" w:rsidR="00B32E4C" w:rsidRDefault="00B32E4C" w:rsidP="00C66062"/>
        </w:tc>
        <w:tc>
          <w:tcPr>
            <w:tcW w:w="9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110" w:type="dxa"/>
              <w:bottom w:w="20" w:type="dxa"/>
              <w:right w:w="0" w:type="dxa"/>
            </w:tcMar>
          </w:tcPr>
          <w:p w14:paraId="3762451C" w14:textId="77777777" w:rsidR="00B32E4C" w:rsidRDefault="00B32E4C" w:rsidP="00C66062">
            <w:r>
              <w:rPr>
                <w:rFonts w:ascii="Calibri" w:eastAsia="Calibri" w:hAnsi="Calibri" w:cs="Calibri"/>
                <w:b/>
                <w:bCs/>
                <w:color w:val="6B3FA0"/>
                <w:sz w:val="15"/>
                <w:szCs w:val="15"/>
              </w:rPr>
              <w:t>KEY CASE STUDIES</w:t>
            </w:r>
          </w:p>
        </w:tc>
      </w:tr>
    </w:tbl>
    <w:p w14:paraId="7873D80C" w14:textId="77777777" w:rsidR="00B32E4C" w:rsidRDefault="00B32E4C" w:rsidP="00B32E4C">
      <w:pPr>
        <w:spacing w:after="6"/>
      </w:pPr>
    </w:p>
    <w:tbl>
      <w:tblPr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5"/>
        <w:gridCol w:w="2970"/>
        <w:gridCol w:w="2835"/>
        <w:gridCol w:w="4005"/>
      </w:tblGrid>
      <w:tr w:rsidR="00B32E4C" w14:paraId="79407B6F" w14:textId="77777777" w:rsidTr="0059694E">
        <w:tc>
          <w:tcPr>
            <w:tcW w:w="895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6B3FA0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F3448FC" w14:textId="77777777" w:rsidR="00B32E4C" w:rsidRDefault="00B32E4C" w:rsidP="00C66062"/>
        </w:tc>
        <w:tc>
          <w:tcPr>
            <w:tcW w:w="297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6B3FA0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3E0B281" w14:textId="77777777" w:rsidR="00B32E4C" w:rsidRDefault="00B32E4C" w:rsidP="00C66062">
            <w:r>
              <w:rPr>
                <w:rFonts w:ascii="Calibri" w:eastAsia="Calibri" w:hAnsi="Calibri" w:cs="Calibri"/>
                <w:b/>
                <w:bCs/>
                <w:color w:val="FFFFFF"/>
                <w:sz w:val="14"/>
                <w:szCs w:val="14"/>
              </w:rPr>
              <w:t>New York City (NY)</w:t>
            </w:r>
          </w:p>
        </w:tc>
        <w:tc>
          <w:tcPr>
            <w:tcW w:w="2835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6B3FA0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E2CD93A" w14:textId="77777777" w:rsidR="00B32E4C" w:rsidRDefault="00B32E4C" w:rsidP="00C66062">
            <w:r>
              <w:rPr>
                <w:rFonts w:ascii="Calibri" w:eastAsia="Calibri" w:hAnsi="Calibri" w:cs="Calibri"/>
                <w:b/>
                <w:bCs/>
                <w:color w:val="FFFFFF"/>
                <w:sz w:val="14"/>
                <w:szCs w:val="14"/>
              </w:rPr>
              <w:t>El Paso, TX</w:t>
            </w:r>
          </w:p>
        </w:tc>
        <w:tc>
          <w:tcPr>
            <w:tcW w:w="4005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6B3FA0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9966228" w14:textId="77777777" w:rsidR="00B32E4C" w:rsidRDefault="00B32E4C" w:rsidP="00C66062">
            <w:r>
              <w:rPr>
                <w:rFonts w:ascii="Calibri" w:eastAsia="Calibri" w:hAnsi="Calibri" w:cs="Calibri"/>
                <w:b/>
                <w:bCs/>
                <w:color w:val="FFFFFF"/>
                <w:sz w:val="14"/>
                <w:szCs w:val="14"/>
              </w:rPr>
              <w:t>Ann Arbor, MI</w:t>
            </w:r>
          </w:p>
        </w:tc>
      </w:tr>
      <w:tr w:rsidR="00B32E4C" w14:paraId="093D4A95" w14:textId="77777777" w:rsidTr="0059694E">
        <w:trPr>
          <w:trHeight w:val="575"/>
        </w:trPr>
        <w:tc>
          <w:tcPr>
            <w:tcW w:w="895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EDE0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9CC4889" w14:textId="77777777" w:rsidR="00B32E4C" w:rsidRDefault="00B32E4C" w:rsidP="00C66062">
            <w:r>
              <w:rPr>
                <w:rFonts w:ascii="Calibri" w:eastAsia="Calibri" w:hAnsi="Calibri" w:cs="Calibri"/>
                <w:b/>
                <w:bCs/>
                <w:color w:val="3D1F5C"/>
                <w:sz w:val="14"/>
                <w:szCs w:val="14"/>
              </w:rPr>
              <w:t>Proceeding</w:t>
            </w:r>
          </w:p>
        </w:tc>
        <w:tc>
          <w:tcPr>
            <w:tcW w:w="297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FFFFF"/>
            <w:tcMar>
              <w:top w:w="40" w:type="dxa"/>
              <w:left w:w="100" w:type="dxa"/>
              <w:bottom w:w="40" w:type="dxa"/>
              <w:right w:w="90" w:type="dxa"/>
            </w:tcMar>
          </w:tcPr>
          <w:p w14:paraId="6D07894E" w14:textId="77777777" w:rsidR="00B32E4C" w:rsidRDefault="00B32E4C" w:rsidP="00C66062">
            <w:r>
              <w:rPr>
                <w:rFonts w:ascii="Calibri" w:eastAsia="Calibri" w:hAnsi="Calibri" w:cs="Calibri"/>
                <w:color w:val="1A1A1A"/>
                <w:sz w:val="14"/>
                <w:szCs w:val="14"/>
              </w:rPr>
              <w:t>Cases 25-E-0072/25-G-0073 (Con Edison Electric &amp; Gas, 2025–26); prior: 16-E-0060, 19-E-0065, 23-G-0225</w:t>
            </w:r>
          </w:p>
        </w:tc>
        <w:tc>
          <w:tcPr>
            <w:tcW w:w="2835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FFFFF"/>
            <w:tcMar>
              <w:top w:w="40" w:type="dxa"/>
              <w:left w:w="100" w:type="dxa"/>
              <w:bottom w:w="40" w:type="dxa"/>
              <w:right w:w="90" w:type="dxa"/>
            </w:tcMar>
          </w:tcPr>
          <w:p w14:paraId="552B77DC" w14:textId="77777777" w:rsidR="00B32E4C" w:rsidRDefault="00B32E4C" w:rsidP="00C66062">
            <w:r>
              <w:rPr>
                <w:rFonts w:ascii="Calibri" w:eastAsia="Calibri" w:hAnsi="Calibri" w:cs="Calibri"/>
                <w:color w:val="1A1A1A"/>
                <w:sz w:val="14"/>
                <w:szCs w:val="14"/>
              </w:rPr>
              <w:t>PUC Docket No. 46831 (El Paso Electric, 2017)</w:t>
            </w:r>
          </w:p>
        </w:tc>
        <w:tc>
          <w:tcPr>
            <w:tcW w:w="4005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FFFFF"/>
            <w:tcMar>
              <w:top w:w="40" w:type="dxa"/>
              <w:left w:w="100" w:type="dxa"/>
              <w:bottom w:w="40" w:type="dxa"/>
              <w:right w:w="90" w:type="dxa"/>
            </w:tcMar>
          </w:tcPr>
          <w:p w14:paraId="7FA21CF1" w14:textId="77777777" w:rsidR="00B32E4C" w:rsidRDefault="00B32E4C" w:rsidP="00C66062">
            <w:r>
              <w:rPr>
                <w:rFonts w:ascii="Calibri" w:eastAsia="Calibri" w:hAnsi="Calibri" w:cs="Calibri"/>
                <w:color w:val="1A1A1A"/>
                <w:sz w:val="14"/>
                <w:szCs w:val="14"/>
              </w:rPr>
              <w:t>MPSC Case No. U-21860 (DTE Electric, 2025–26)</w:t>
            </w:r>
          </w:p>
        </w:tc>
      </w:tr>
      <w:tr w:rsidR="00B32E4C" w14:paraId="39178764" w14:textId="77777777" w:rsidTr="0059694E">
        <w:tc>
          <w:tcPr>
            <w:tcW w:w="895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DDD0F0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F62E184" w14:textId="77777777" w:rsidR="00B32E4C" w:rsidRDefault="00B32E4C" w:rsidP="00C66062">
            <w:r>
              <w:rPr>
                <w:rFonts w:ascii="Calibri" w:eastAsia="Calibri" w:hAnsi="Calibri" w:cs="Calibri"/>
                <w:b/>
                <w:bCs/>
                <w:color w:val="3D1F5C"/>
                <w:sz w:val="14"/>
                <w:szCs w:val="14"/>
              </w:rPr>
              <w:t>Model</w:t>
            </w:r>
          </w:p>
        </w:tc>
        <w:tc>
          <w:tcPr>
            <w:tcW w:w="297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5F8FC"/>
            <w:tcMar>
              <w:top w:w="40" w:type="dxa"/>
              <w:left w:w="100" w:type="dxa"/>
              <w:bottom w:w="40" w:type="dxa"/>
              <w:right w:w="90" w:type="dxa"/>
            </w:tcMar>
          </w:tcPr>
          <w:p w14:paraId="5F723EF2" w14:textId="77777777" w:rsidR="00B32E4C" w:rsidRDefault="00B32E4C" w:rsidP="00C66062">
            <w:r>
              <w:rPr>
                <w:rFonts w:ascii="Calibri" w:eastAsia="Calibri" w:hAnsi="Calibri" w:cs="Calibri"/>
                <w:color w:val="1A1A1A"/>
                <w:sz w:val="14"/>
                <w:szCs w:val="14"/>
              </w:rPr>
              <w:t>Multi-agency city team; outside financial expert (Chait Analytics); formal intervenor since 1970s</w:t>
            </w:r>
          </w:p>
        </w:tc>
        <w:tc>
          <w:tcPr>
            <w:tcW w:w="2835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5F8FC"/>
            <w:tcMar>
              <w:top w:w="40" w:type="dxa"/>
              <w:left w:w="100" w:type="dxa"/>
              <w:bottom w:w="40" w:type="dxa"/>
              <w:right w:w="90" w:type="dxa"/>
            </w:tcMar>
          </w:tcPr>
          <w:p w14:paraId="3CE5BA62" w14:textId="77777777" w:rsidR="00B32E4C" w:rsidRDefault="00B32E4C" w:rsidP="00C66062">
            <w:r>
              <w:rPr>
                <w:rFonts w:ascii="Calibri" w:eastAsia="Calibri" w:hAnsi="Calibri" w:cs="Calibri"/>
                <w:color w:val="1A1A1A"/>
                <w:sz w:val="14"/>
                <w:szCs w:val="14"/>
              </w:rPr>
              <w:t>City + County both intervened; 4 law firms + 6 consulting firms; ~$504K costs reimbursed by utility under PURA §33.023(b)</w:t>
            </w:r>
          </w:p>
        </w:tc>
        <w:tc>
          <w:tcPr>
            <w:tcW w:w="4005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5F8FC"/>
            <w:tcMar>
              <w:top w:w="40" w:type="dxa"/>
              <w:left w:w="100" w:type="dxa"/>
              <w:bottom w:w="40" w:type="dxa"/>
              <w:right w:w="90" w:type="dxa"/>
            </w:tcMar>
          </w:tcPr>
          <w:p w14:paraId="542C0DBA" w14:textId="77777777" w:rsidR="00B32E4C" w:rsidRDefault="00B32E4C" w:rsidP="00C66062">
            <w:r>
              <w:rPr>
                <w:rFonts w:ascii="Calibri" w:eastAsia="Calibri" w:hAnsi="Calibri" w:cs="Calibri"/>
                <w:color w:val="1A1A1A"/>
                <w:sz w:val="14"/>
                <w:szCs w:val="14"/>
              </w:rPr>
              <w:t>Lead city attorney (Valery Jackson) + sustainability director (Missy Stultz); outside technical consultants $15K–$50K/engagement; ~$70K Utility Protections Board grant funds consultant costs</w:t>
            </w:r>
          </w:p>
        </w:tc>
      </w:tr>
      <w:tr w:rsidR="00B32E4C" w14:paraId="0C4D2A05" w14:textId="77777777" w:rsidTr="0059694E">
        <w:tc>
          <w:tcPr>
            <w:tcW w:w="895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EDE0F8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6B1D39B" w14:textId="77777777" w:rsidR="00B32E4C" w:rsidRDefault="00B32E4C" w:rsidP="00C66062">
            <w:r>
              <w:rPr>
                <w:rFonts w:ascii="Calibri" w:eastAsia="Calibri" w:hAnsi="Calibri" w:cs="Calibri"/>
                <w:b/>
                <w:bCs/>
                <w:color w:val="3D1F5C"/>
                <w:sz w:val="14"/>
                <w:szCs w:val="14"/>
              </w:rPr>
              <w:t>Key Wins</w:t>
            </w:r>
          </w:p>
        </w:tc>
        <w:tc>
          <w:tcPr>
            <w:tcW w:w="297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FFFFF"/>
            <w:tcMar>
              <w:top w:w="40" w:type="dxa"/>
              <w:left w:w="100" w:type="dxa"/>
              <w:bottom w:w="40" w:type="dxa"/>
              <w:right w:w="90" w:type="dxa"/>
            </w:tcMar>
          </w:tcPr>
          <w:p w14:paraId="7F0FB7B3" w14:textId="77777777" w:rsidR="00B32E4C" w:rsidRDefault="00B32E4C" w:rsidP="00C66062">
            <w:r>
              <w:rPr>
                <w:rFonts w:ascii="Calibri" w:eastAsia="Calibri" w:hAnsi="Calibri" w:cs="Calibri"/>
                <w:color w:val="1A1A1A"/>
                <w:sz w:val="14"/>
                <w:szCs w:val="14"/>
              </w:rPr>
              <w:t>Disadvantaged Communities equity report required (cited in PSC order); FTE request cut 2,889→981; $782M+ in electric rate mitigators; EAMs eliminated for mandated targets</w:t>
            </w:r>
          </w:p>
        </w:tc>
        <w:tc>
          <w:tcPr>
            <w:tcW w:w="2835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FFFFF"/>
            <w:tcMar>
              <w:top w:w="40" w:type="dxa"/>
              <w:left w:w="100" w:type="dxa"/>
              <w:bottom w:w="40" w:type="dxa"/>
              <w:right w:w="90" w:type="dxa"/>
            </w:tcMar>
          </w:tcPr>
          <w:p w14:paraId="1907386E" w14:textId="77777777" w:rsidR="00B32E4C" w:rsidRDefault="00B32E4C" w:rsidP="00C66062">
            <w:r>
              <w:rPr>
                <w:rFonts w:ascii="Calibri" w:eastAsia="Calibri" w:hAnsi="Calibri" w:cs="Calibri"/>
                <w:color w:val="1A1A1A"/>
                <w:sz w:val="14"/>
                <w:szCs w:val="14"/>
              </w:rPr>
              <w:t>DG rate class fully rejected; rate increase cut $42.5M→$14.5M (66%); 3-year ban on DG-specific rate changes</w:t>
            </w:r>
          </w:p>
        </w:tc>
        <w:tc>
          <w:tcPr>
            <w:tcW w:w="4005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FFFFF"/>
            <w:tcMar>
              <w:top w:w="40" w:type="dxa"/>
              <w:left w:w="100" w:type="dxa"/>
              <w:bottom w:w="40" w:type="dxa"/>
              <w:right w:w="90" w:type="dxa"/>
            </w:tcMar>
          </w:tcPr>
          <w:p w14:paraId="450C84BD" w14:textId="77777777" w:rsidR="00B32E4C" w:rsidRDefault="00B32E4C" w:rsidP="00C66062">
            <w:r>
              <w:rPr>
                <w:rFonts w:ascii="Calibri" w:eastAsia="Calibri" w:hAnsi="Calibri" w:cs="Calibri"/>
                <w:color w:val="1A1A1A"/>
                <w:sz w:val="14"/>
                <w:szCs w:val="14"/>
              </w:rPr>
              <w:t>$133M capital spending disallowed; gas infrastructure depreciation rates argued too low given obsolescence; DTE received zero reliability benefits in incentive docket; demand response retained system-wide</w:t>
            </w:r>
          </w:p>
        </w:tc>
      </w:tr>
      <w:tr w:rsidR="00B32E4C" w14:paraId="665C3C9F" w14:textId="77777777" w:rsidTr="0059694E">
        <w:tc>
          <w:tcPr>
            <w:tcW w:w="895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DDD0F0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751AFC0" w14:textId="77777777" w:rsidR="00B32E4C" w:rsidRDefault="00B32E4C" w:rsidP="00C66062">
            <w:r>
              <w:rPr>
                <w:rFonts w:ascii="Calibri" w:eastAsia="Calibri" w:hAnsi="Calibri" w:cs="Calibri"/>
                <w:b/>
                <w:bCs/>
                <w:color w:val="3D1F5C"/>
                <w:sz w:val="14"/>
                <w:szCs w:val="14"/>
              </w:rPr>
              <w:t>Key Limit</w:t>
            </w:r>
          </w:p>
        </w:tc>
        <w:tc>
          <w:tcPr>
            <w:tcW w:w="297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5F8FC"/>
            <w:tcMar>
              <w:top w:w="40" w:type="dxa"/>
              <w:left w:w="100" w:type="dxa"/>
              <w:bottom w:w="40" w:type="dxa"/>
              <w:right w:w="90" w:type="dxa"/>
            </w:tcMar>
          </w:tcPr>
          <w:p w14:paraId="63D0197C" w14:textId="77777777" w:rsidR="00B32E4C" w:rsidRDefault="00B32E4C" w:rsidP="00C66062">
            <w:r>
              <w:rPr>
                <w:rFonts w:ascii="Calibri" w:eastAsia="Calibri" w:hAnsi="Calibri" w:cs="Calibri"/>
                <w:color w:val="1A1A1A"/>
                <w:sz w:val="14"/>
                <w:szCs w:val="14"/>
              </w:rPr>
              <w:t>ROE set at 9.40%; city preferred lower</w:t>
            </w:r>
          </w:p>
        </w:tc>
        <w:tc>
          <w:tcPr>
            <w:tcW w:w="2835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5F8FC"/>
            <w:tcMar>
              <w:top w:w="40" w:type="dxa"/>
              <w:left w:w="100" w:type="dxa"/>
              <w:bottom w:w="40" w:type="dxa"/>
              <w:right w:w="90" w:type="dxa"/>
            </w:tcMar>
          </w:tcPr>
          <w:p w14:paraId="416EA7DA" w14:textId="77777777" w:rsidR="00B32E4C" w:rsidRDefault="00B32E4C" w:rsidP="00C66062">
            <w:r>
              <w:rPr>
                <w:rFonts w:ascii="Calibri" w:eastAsia="Calibri" w:hAnsi="Calibri" w:cs="Calibri"/>
                <w:color w:val="1A1A1A"/>
                <w:sz w:val="14"/>
                <w:szCs w:val="14"/>
              </w:rPr>
              <w:t>County not entitled to expense reimbursement under Texas law</w:t>
            </w:r>
          </w:p>
        </w:tc>
        <w:tc>
          <w:tcPr>
            <w:tcW w:w="4005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5F8FC"/>
            <w:tcMar>
              <w:top w:w="40" w:type="dxa"/>
              <w:left w:w="100" w:type="dxa"/>
              <w:bottom w:w="40" w:type="dxa"/>
              <w:right w:w="90" w:type="dxa"/>
            </w:tcMar>
          </w:tcPr>
          <w:p w14:paraId="4D2A2F0F" w14:textId="77777777" w:rsidR="00B32E4C" w:rsidRDefault="00B32E4C" w:rsidP="00C66062">
            <w:r>
              <w:rPr>
                <w:rFonts w:ascii="Calibri" w:eastAsia="Calibri" w:hAnsi="Calibri" w:cs="Calibri"/>
                <w:color w:val="1A1A1A"/>
                <w:sz w:val="14"/>
                <w:szCs w:val="14"/>
              </w:rPr>
              <w:t>Model requires rare combination of utility-experienced city attorney + sustained technical consultant relationships; not easily replicated without those personnel</w:t>
            </w:r>
          </w:p>
        </w:tc>
      </w:tr>
    </w:tbl>
    <w:p w14:paraId="7B8E885C" w14:textId="77777777" w:rsidR="00B32E4C" w:rsidRDefault="00B32E4C" w:rsidP="00B32E4C">
      <w:pPr>
        <w:spacing w:after="8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9180"/>
      </w:tblGrid>
      <w:tr w:rsidR="00B32E4C" w14:paraId="0AA0836D" w14:textId="77777777" w:rsidTr="00C66062">
        <w:tc>
          <w:tcPr>
            <w:tcW w:w="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6B3FA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22124" w14:textId="77777777" w:rsidR="00B32E4C" w:rsidRDefault="00B32E4C" w:rsidP="00C66062"/>
        </w:tc>
        <w:tc>
          <w:tcPr>
            <w:tcW w:w="9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110" w:type="dxa"/>
              <w:bottom w:w="20" w:type="dxa"/>
              <w:right w:w="0" w:type="dxa"/>
            </w:tcMar>
          </w:tcPr>
          <w:p w14:paraId="208E3553" w14:textId="77777777" w:rsidR="00B32E4C" w:rsidRDefault="00B32E4C" w:rsidP="00C66062">
            <w:r>
              <w:rPr>
                <w:rFonts w:ascii="Calibri" w:eastAsia="Calibri" w:hAnsi="Calibri" w:cs="Calibri"/>
                <w:b/>
                <w:bCs/>
                <w:color w:val="6B3FA0"/>
                <w:sz w:val="15"/>
                <w:szCs w:val="15"/>
              </w:rPr>
              <w:t>SCOPE OF POSSIBLE ADVOCACY IN RATE CASES</w:t>
            </w:r>
          </w:p>
        </w:tc>
      </w:tr>
    </w:tbl>
    <w:p w14:paraId="4ADEB102" w14:textId="77777777" w:rsidR="00B32E4C" w:rsidRDefault="00B32E4C" w:rsidP="00B32E4C">
      <w:pPr>
        <w:spacing w:after="6"/>
      </w:pP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5"/>
        <w:gridCol w:w="5310"/>
      </w:tblGrid>
      <w:tr w:rsidR="00B32E4C" w14:paraId="35352B87" w14:textId="77777777" w:rsidTr="00B32E4C">
        <w:tc>
          <w:tcPr>
            <w:tcW w:w="4855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5F8FC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C396D58" w14:textId="77777777" w:rsidR="00B32E4C" w:rsidRDefault="00B32E4C" w:rsidP="00C66062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color w:val="6B3FA0"/>
                <w:sz w:val="15"/>
                <w:szCs w:val="15"/>
              </w:rPr>
              <w:t>① Rate Design</w:t>
            </w:r>
          </w:p>
          <w:p w14:paraId="2224BE15" w14:textId="77777777" w:rsidR="00B32E4C" w:rsidRDefault="00B32E4C" w:rsidP="00C66062">
            <w:r>
              <w:rPr>
                <w:rFonts w:ascii="Calibri" w:eastAsia="Calibri" w:hAnsi="Calibri" w:cs="Calibri"/>
                <w:color w:val="1A1A1A"/>
                <w:sz w:val="14"/>
                <w:szCs w:val="14"/>
              </w:rPr>
              <w:t>Advocate for lifeline rates, income-based fixed charges, inclining block rates, PIPPs. Push against flat fixed charges that burden low-income households. El Paso reduced a proposed $10.00 monthly charge to $8.25 — below the statewide average.</w:t>
            </w:r>
          </w:p>
        </w:tc>
        <w:tc>
          <w:tcPr>
            <w:tcW w:w="531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5F8FC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69D01CB" w14:textId="77777777" w:rsidR="00B32E4C" w:rsidRDefault="00B32E4C" w:rsidP="00C66062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color w:val="6B3FA0"/>
                <w:sz w:val="15"/>
                <w:szCs w:val="15"/>
              </w:rPr>
              <w:t>② Affordability Programs</w:t>
            </w:r>
          </w:p>
          <w:p w14:paraId="005AC49B" w14:textId="77777777" w:rsidR="00B32E4C" w:rsidRDefault="00B32E4C" w:rsidP="00C66062">
            <w:r>
              <w:rPr>
                <w:rFonts w:ascii="Calibri" w:eastAsia="Calibri" w:hAnsi="Calibri" w:cs="Calibri"/>
                <w:color w:val="1A1A1A"/>
                <w:sz w:val="14"/>
                <w:szCs w:val="14"/>
              </w:rPr>
              <w:t>Shape discount structures, enrollment pathways, and program scope. NYC secured a mandatory Disadvantaged Communities equity report — cited by name in the final PSC order — and elimination of shareholder incentives for legally mandated clean energy targets.</w:t>
            </w:r>
          </w:p>
        </w:tc>
      </w:tr>
      <w:tr w:rsidR="00B32E4C" w14:paraId="6129B898" w14:textId="77777777" w:rsidTr="00B32E4C">
        <w:tc>
          <w:tcPr>
            <w:tcW w:w="4855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5F8FC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3D39CE1" w14:textId="77777777" w:rsidR="00B32E4C" w:rsidRDefault="00B32E4C" w:rsidP="00C66062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color w:val="6B3FA0"/>
                <w:sz w:val="15"/>
                <w:szCs w:val="15"/>
              </w:rPr>
              <w:t>③ Capital Investment Scrutiny</w:t>
            </w:r>
          </w:p>
          <w:p w14:paraId="78364CDC" w14:textId="77777777" w:rsidR="00B32E4C" w:rsidRDefault="00B32E4C" w:rsidP="00C66062">
            <w:r>
              <w:rPr>
                <w:rFonts w:ascii="Calibri" w:eastAsia="Calibri" w:hAnsi="Calibri" w:cs="Calibri"/>
                <w:color w:val="1A1A1A"/>
                <w:sz w:val="14"/>
                <w:szCs w:val="14"/>
              </w:rPr>
              <w:t>Challenge unjustified utility capital spending. Ann Arbor secured $133M in disallowances on distribution automation using the utility’s own data and the Commission’s independent audit — no outside consultants required.</w:t>
            </w:r>
          </w:p>
        </w:tc>
        <w:tc>
          <w:tcPr>
            <w:tcW w:w="531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5F8FC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62F8E0E" w14:textId="77777777" w:rsidR="00B32E4C" w:rsidRDefault="00B32E4C" w:rsidP="00C66062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color w:val="6B3FA0"/>
                <w:sz w:val="15"/>
                <w:szCs w:val="15"/>
              </w:rPr>
              <w:t>④ Protecting Emerging Technologies</w:t>
            </w:r>
          </w:p>
          <w:p w14:paraId="79698BEB" w14:textId="77777777" w:rsidR="00B32E4C" w:rsidRDefault="00B32E4C" w:rsidP="00C66062">
            <w:r>
              <w:rPr>
                <w:rFonts w:ascii="Calibri" w:eastAsia="Calibri" w:hAnsi="Calibri" w:cs="Calibri"/>
                <w:color w:val="1A1A1A"/>
                <w:sz w:val="14"/>
                <w:szCs w:val="14"/>
              </w:rPr>
              <w:t>Intervene against rate structures designed to burden rooftop solar and distributed energy resources. El Paso defeated a mandatory DG rate class that would have tripled solar customer bills and won a 3-year forbearance on DG-specific rate changes.</w:t>
            </w:r>
          </w:p>
        </w:tc>
      </w:tr>
    </w:tbl>
    <w:p w14:paraId="189B93BC" w14:textId="77777777" w:rsidR="00B32E4C" w:rsidRDefault="00B32E4C" w:rsidP="00B32E4C">
      <w:pPr>
        <w:spacing w:after="8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9180"/>
      </w:tblGrid>
      <w:tr w:rsidR="00B32E4C" w14:paraId="5946D914" w14:textId="77777777" w:rsidTr="00C66062">
        <w:tc>
          <w:tcPr>
            <w:tcW w:w="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6B3FA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F5815" w14:textId="77777777" w:rsidR="00B32E4C" w:rsidRDefault="00B32E4C" w:rsidP="00C66062"/>
        </w:tc>
        <w:tc>
          <w:tcPr>
            <w:tcW w:w="9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0" w:type="dxa"/>
              <w:left w:w="110" w:type="dxa"/>
              <w:bottom w:w="20" w:type="dxa"/>
              <w:right w:w="0" w:type="dxa"/>
            </w:tcMar>
          </w:tcPr>
          <w:p w14:paraId="6762EDBA" w14:textId="77777777" w:rsidR="00B32E4C" w:rsidRDefault="00B32E4C" w:rsidP="00C66062">
            <w:r>
              <w:rPr>
                <w:rFonts w:ascii="Calibri" w:eastAsia="Calibri" w:hAnsi="Calibri" w:cs="Calibri"/>
                <w:b/>
                <w:bCs/>
                <w:color w:val="6B3FA0"/>
                <w:sz w:val="15"/>
                <w:szCs w:val="15"/>
              </w:rPr>
              <w:t>ENABLING CONDITIONS &amp; REPLICATION</w:t>
            </w:r>
          </w:p>
        </w:tc>
      </w:tr>
    </w:tbl>
    <w:p w14:paraId="0E02AC4F" w14:textId="77777777" w:rsidR="00B32E4C" w:rsidRDefault="00B32E4C" w:rsidP="00B32E4C">
      <w:pPr>
        <w:spacing w:after="6"/>
      </w:pPr>
    </w:p>
    <w:tbl>
      <w:tblPr>
        <w:tblW w:w="11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5"/>
        <w:gridCol w:w="6300"/>
      </w:tblGrid>
      <w:tr w:rsidR="00B32E4C" w14:paraId="29593543" w14:textId="77777777" w:rsidTr="0059694E">
        <w:tc>
          <w:tcPr>
            <w:tcW w:w="4945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6B3FA0"/>
            <w:tcMar>
              <w:top w:w="40" w:type="dxa"/>
              <w:left w:w="100" w:type="dxa"/>
              <w:bottom w:w="40" w:type="dxa"/>
              <w:right w:w="90" w:type="dxa"/>
            </w:tcMar>
          </w:tcPr>
          <w:p w14:paraId="17991696" w14:textId="77777777" w:rsidR="00B32E4C" w:rsidRDefault="00B32E4C" w:rsidP="00C66062">
            <w:r>
              <w:rPr>
                <w:rFonts w:ascii="Calibri" w:eastAsia="Calibri" w:hAnsi="Calibri" w:cs="Calibri"/>
                <w:b/>
                <w:bCs/>
                <w:color w:val="FFFFFF"/>
                <w:sz w:val="14"/>
                <w:szCs w:val="14"/>
              </w:rPr>
              <w:t>What Made It Possible</w:t>
            </w:r>
          </w:p>
        </w:tc>
        <w:tc>
          <w:tcPr>
            <w:tcW w:w="630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6B3FA0"/>
            <w:tcMar>
              <w:top w:w="40" w:type="dxa"/>
              <w:left w:w="100" w:type="dxa"/>
              <w:bottom w:w="40" w:type="dxa"/>
              <w:right w:w="90" w:type="dxa"/>
            </w:tcMar>
          </w:tcPr>
          <w:p w14:paraId="670441B2" w14:textId="77777777" w:rsidR="00B32E4C" w:rsidRDefault="00B32E4C" w:rsidP="00C66062">
            <w:r>
              <w:rPr>
                <w:rFonts w:ascii="Calibri" w:eastAsia="Calibri" w:hAnsi="Calibri" w:cs="Calibri"/>
                <w:b/>
                <w:bCs/>
                <w:color w:val="FFFFFF"/>
                <w:sz w:val="14"/>
                <w:szCs w:val="14"/>
              </w:rPr>
              <w:t>Who Can Replicate This</w:t>
            </w:r>
          </w:p>
        </w:tc>
      </w:tr>
      <w:tr w:rsidR="00B32E4C" w14:paraId="25A0F52D" w14:textId="77777777" w:rsidTr="0059694E">
        <w:tc>
          <w:tcPr>
            <w:tcW w:w="4945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EDE0F8"/>
            <w:tcMar>
              <w:top w:w="40" w:type="dxa"/>
              <w:left w:w="100" w:type="dxa"/>
              <w:bottom w:w="40" w:type="dxa"/>
              <w:right w:w="90" w:type="dxa"/>
            </w:tcMar>
          </w:tcPr>
          <w:p w14:paraId="5E5D1EE2" w14:textId="77777777" w:rsidR="00B32E4C" w:rsidRPr="00B32E4C" w:rsidRDefault="00B32E4C" w:rsidP="00C66062">
            <w:pPr>
              <w:rPr>
                <w:sz w:val="16"/>
                <w:szCs w:val="16"/>
              </w:rPr>
            </w:pPr>
            <w:r w:rsidRPr="00B32E4C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Standing rules in MI, NY, and TX all provided accessible pathways — as utility customers, governmental entities, or under original jurisdiction statutes</w:t>
            </w:r>
          </w:p>
        </w:tc>
        <w:tc>
          <w:tcPr>
            <w:tcW w:w="630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FFFFF"/>
            <w:tcMar>
              <w:top w:w="40" w:type="dxa"/>
              <w:left w:w="100" w:type="dxa"/>
              <w:bottom w:w="40" w:type="dxa"/>
              <w:right w:w="90" w:type="dxa"/>
            </w:tcMar>
          </w:tcPr>
          <w:p w14:paraId="3576B23F" w14:textId="77777777" w:rsidR="00B32E4C" w:rsidRPr="00B32E4C" w:rsidRDefault="00B32E4C" w:rsidP="00C66062">
            <w:pPr>
              <w:rPr>
                <w:sz w:val="16"/>
                <w:szCs w:val="16"/>
              </w:rPr>
            </w:pPr>
            <w:r w:rsidRPr="00B32E4C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Any city served by an investor-owned utility should review its state’s PSC standing rules before the next rate case filing — petitions must be filed early</w:t>
            </w:r>
          </w:p>
        </w:tc>
      </w:tr>
      <w:tr w:rsidR="00B32E4C" w14:paraId="529B3473" w14:textId="77777777" w:rsidTr="0059694E">
        <w:tc>
          <w:tcPr>
            <w:tcW w:w="4945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DDD0F0"/>
            <w:tcMar>
              <w:top w:w="40" w:type="dxa"/>
              <w:left w:w="100" w:type="dxa"/>
              <w:bottom w:w="40" w:type="dxa"/>
              <w:right w:w="90" w:type="dxa"/>
            </w:tcMar>
          </w:tcPr>
          <w:p w14:paraId="2AEA9478" w14:textId="77777777" w:rsidR="00B32E4C" w:rsidRPr="00B32E4C" w:rsidRDefault="00B32E4C" w:rsidP="00C66062">
            <w:pPr>
              <w:rPr>
                <w:sz w:val="16"/>
                <w:szCs w:val="16"/>
              </w:rPr>
            </w:pPr>
            <w:r w:rsidRPr="00B32E4C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Ann Arbor’s most powerful arguments came from the utility’s own data and the Commission’s own auditor. “Conflicting testimony is gold” — force the utility to reconcile contradictions across its own witnesses</w:t>
            </w:r>
          </w:p>
        </w:tc>
        <w:tc>
          <w:tcPr>
            <w:tcW w:w="630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5F8FC"/>
            <w:tcMar>
              <w:top w:w="40" w:type="dxa"/>
              <w:left w:w="100" w:type="dxa"/>
              <w:bottom w:w="40" w:type="dxa"/>
              <w:right w:w="90" w:type="dxa"/>
            </w:tcMar>
          </w:tcPr>
          <w:p w14:paraId="044E8043" w14:textId="77777777" w:rsidR="00B32E4C" w:rsidRPr="00B32E4C" w:rsidRDefault="00B32E4C" w:rsidP="00C66062">
            <w:pPr>
              <w:rPr>
                <w:sz w:val="16"/>
                <w:szCs w:val="16"/>
              </w:rPr>
            </w:pPr>
            <w:r w:rsidRPr="00B32E4C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Cities with limited staff can be effective without large consultant teams by mastering the public record; utilities’ own discovery responses are often the best evidence</w:t>
            </w:r>
          </w:p>
        </w:tc>
      </w:tr>
      <w:tr w:rsidR="00B32E4C" w14:paraId="5E808F56" w14:textId="77777777" w:rsidTr="0059694E">
        <w:tc>
          <w:tcPr>
            <w:tcW w:w="4945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EDE0F8"/>
            <w:tcMar>
              <w:top w:w="40" w:type="dxa"/>
              <w:left w:w="100" w:type="dxa"/>
              <w:bottom w:w="40" w:type="dxa"/>
              <w:right w:w="90" w:type="dxa"/>
            </w:tcMar>
          </w:tcPr>
          <w:p w14:paraId="2737FCC4" w14:textId="77777777" w:rsidR="00B32E4C" w:rsidRPr="00B32E4C" w:rsidRDefault="00B32E4C" w:rsidP="00C66062">
            <w:pPr>
              <w:rPr>
                <w:sz w:val="16"/>
                <w:szCs w:val="16"/>
              </w:rPr>
            </w:pPr>
            <w:r w:rsidRPr="00B32E4C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Texas PURA §33.023(b) requires utilities to reimburse incorporated municipalities’ rate case expenses — converting intervention from a financial risk to a recoverable investment</w:t>
            </w:r>
          </w:p>
        </w:tc>
        <w:tc>
          <w:tcPr>
            <w:tcW w:w="630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FFFFF"/>
            <w:tcMar>
              <w:top w:w="40" w:type="dxa"/>
              <w:left w:w="100" w:type="dxa"/>
              <w:bottom w:w="40" w:type="dxa"/>
              <w:right w:w="90" w:type="dxa"/>
            </w:tcMar>
          </w:tcPr>
          <w:p w14:paraId="29E8AEA4" w14:textId="77777777" w:rsidR="00B32E4C" w:rsidRPr="00B32E4C" w:rsidRDefault="00B32E4C" w:rsidP="00C66062">
            <w:pPr>
              <w:rPr>
                <w:sz w:val="16"/>
                <w:szCs w:val="16"/>
              </w:rPr>
            </w:pPr>
            <w:r w:rsidRPr="00B32E4C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Cities in Texas should intervene expecting reimbursement; advocates elsewhere should pursue analogous expense recovery legislation at the state level</w:t>
            </w:r>
          </w:p>
        </w:tc>
      </w:tr>
      <w:tr w:rsidR="00B32E4C" w14:paraId="6FA90E59" w14:textId="77777777" w:rsidTr="0059694E">
        <w:tc>
          <w:tcPr>
            <w:tcW w:w="4945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DDD0F0"/>
            <w:tcMar>
              <w:top w:w="40" w:type="dxa"/>
              <w:left w:w="100" w:type="dxa"/>
              <w:bottom w:w="40" w:type="dxa"/>
              <w:right w:w="90" w:type="dxa"/>
            </w:tcMar>
          </w:tcPr>
          <w:p w14:paraId="0507B435" w14:textId="77777777" w:rsidR="00B32E4C" w:rsidRPr="00B32E4C" w:rsidRDefault="00B32E4C" w:rsidP="00C66062">
            <w:pPr>
              <w:rPr>
                <w:sz w:val="16"/>
                <w:szCs w:val="16"/>
              </w:rPr>
            </w:pPr>
            <w:r w:rsidRPr="00B32E4C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Consumer protection grants (~$70K Utility Protections Board for Ann Arbor) can fund outside expert testimony, making intervention accessible without full expense reimbursement statutes</w:t>
            </w:r>
          </w:p>
        </w:tc>
        <w:tc>
          <w:tcPr>
            <w:tcW w:w="630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5F8FC"/>
            <w:tcMar>
              <w:top w:w="40" w:type="dxa"/>
              <w:left w:w="100" w:type="dxa"/>
              <w:bottom w:w="40" w:type="dxa"/>
              <w:right w:w="90" w:type="dxa"/>
            </w:tcMar>
          </w:tcPr>
          <w:p w14:paraId="13990031" w14:textId="77777777" w:rsidR="00B32E4C" w:rsidRPr="00B32E4C" w:rsidRDefault="00B32E4C" w:rsidP="00C66062">
            <w:pPr>
              <w:rPr>
                <w:sz w:val="16"/>
                <w:szCs w:val="16"/>
              </w:rPr>
            </w:pPr>
            <w:r w:rsidRPr="00B32E4C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Cities should identify available consumer protection grant programs before concluding intervention is unaffordable; grants can cover the most specialized technical testimony needs</w:t>
            </w:r>
          </w:p>
        </w:tc>
      </w:tr>
      <w:tr w:rsidR="00B32E4C" w14:paraId="3C0AA42C" w14:textId="77777777" w:rsidTr="0059694E">
        <w:tc>
          <w:tcPr>
            <w:tcW w:w="4945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EDE0F8"/>
            <w:tcMar>
              <w:top w:w="40" w:type="dxa"/>
              <w:left w:w="100" w:type="dxa"/>
              <w:bottom w:w="40" w:type="dxa"/>
              <w:right w:w="90" w:type="dxa"/>
            </w:tcMar>
          </w:tcPr>
          <w:p w14:paraId="43984F2A" w14:textId="77777777" w:rsidR="00B32E4C" w:rsidRPr="00B32E4C" w:rsidRDefault="00B32E4C" w:rsidP="00C66062">
            <w:pPr>
              <w:rPr>
                <w:sz w:val="16"/>
                <w:szCs w:val="16"/>
              </w:rPr>
            </w:pPr>
            <w:r w:rsidRPr="00B32E4C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NYC’s 50+ years and Ann Arbor’s nine prior cases demonstrate that sustained engagement compounds — each case builds institutional knowledge and Commission credibility</w:t>
            </w:r>
          </w:p>
        </w:tc>
        <w:tc>
          <w:tcPr>
            <w:tcW w:w="6300" w:type="dxa"/>
            <w:tcBorders>
              <w:top w:val="single" w:sz="4" w:space="0" w:color="C8B8E8"/>
              <w:left w:val="single" w:sz="4" w:space="0" w:color="C8B8E8"/>
              <w:bottom w:val="single" w:sz="4" w:space="0" w:color="C8B8E8"/>
              <w:right w:val="single" w:sz="4" w:space="0" w:color="C8B8E8"/>
            </w:tcBorders>
            <w:shd w:val="clear" w:color="auto" w:fill="FFFFFF"/>
            <w:tcMar>
              <w:top w:w="40" w:type="dxa"/>
              <w:left w:w="100" w:type="dxa"/>
              <w:bottom w:w="40" w:type="dxa"/>
              <w:right w:w="90" w:type="dxa"/>
            </w:tcMar>
          </w:tcPr>
          <w:p w14:paraId="4521C836" w14:textId="77777777" w:rsidR="00B32E4C" w:rsidRPr="00B32E4C" w:rsidRDefault="00B32E4C" w:rsidP="00C66062">
            <w:pPr>
              <w:rPr>
                <w:sz w:val="16"/>
                <w:szCs w:val="16"/>
              </w:rPr>
            </w:pPr>
            <w:r w:rsidRPr="00B32E4C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Build coalitions with consumer advocates, CBOs, and legal organizations to cover more issues than any one city team can staff; first-time intervenors can participate but sustained engagement multiplies impact</w:t>
            </w:r>
          </w:p>
        </w:tc>
      </w:tr>
    </w:tbl>
    <w:p w14:paraId="0FEE22FA" w14:textId="77777777" w:rsidR="008B6C73" w:rsidRDefault="008B6C73" w:rsidP="0059694E"/>
    <w:sectPr w:rsidR="008B6C73">
      <w:pgSz w:w="12240" w:h="15840"/>
      <w:pgMar w:top="500" w:right="600" w:bottom="500" w:left="6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18B583" w14:textId="77777777" w:rsidR="00ED72CE" w:rsidRDefault="00ED72CE" w:rsidP="0059694E">
      <w:r>
        <w:separator/>
      </w:r>
    </w:p>
  </w:endnote>
  <w:endnote w:type="continuationSeparator" w:id="0">
    <w:p w14:paraId="1B16B1F3" w14:textId="77777777" w:rsidR="00ED72CE" w:rsidRDefault="00ED72CE" w:rsidP="0059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0DF8D7" w14:textId="77777777" w:rsidR="00ED72CE" w:rsidRDefault="00ED72CE" w:rsidP="0059694E">
      <w:r>
        <w:separator/>
      </w:r>
    </w:p>
  </w:footnote>
  <w:footnote w:type="continuationSeparator" w:id="0">
    <w:p w14:paraId="29663CCD" w14:textId="77777777" w:rsidR="00ED72CE" w:rsidRDefault="00ED72CE" w:rsidP="0059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C87D26"/>
    <w:multiLevelType w:val="hybridMultilevel"/>
    <w:tmpl w:val="E0E8E45E"/>
    <w:lvl w:ilvl="0" w:tplc="88128A0C">
      <w:start w:val="1"/>
      <w:numFmt w:val="bullet"/>
      <w:lvlText w:val="●"/>
      <w:lvlJc w:val="left"/>
      <w:pPr>
        <w:ind w:left="720" w:hanging="360"/>
      </w:pPr>
    </w:lvl>
    <w:lvl w:ilvl="1" w:tplc="768A1AAC">
      <w:start w:val="1"/>
      <w:numFmt w:val="bullet"/>
      <w:lvlText w:val="○"/>
      <w:lvlJc w:val="left"/>
      <w:pPr>
        <w:ind w:left="1440" w:hanging="360"/>
      </w:pPr>
    </w:lvl>
    <w:lvl w:ilvl="2" w:tplc="B6D0F082">
      <w:start w:val="1"/>
      <w:numFmt w:val="bullet"/>
      <w:lvlText w:val="■"/>
      <w:lvlJc w:val="left"/>
      <w:pPr>
        <w:ind w:left="2160" w:hanging="360"/>
      </w:pPr>
    </w:lvl>
    <w:lvl w:ilvl="3" w:tplc="5DCE2D70">
      <w:start w:val="1"/>
      <w:numFmt w:val="bullet"/>
      <w:lvlText w:val="●"/>
      <w:lvlJc w:val="left"/>
      <w:pPr>
        <w:ind w:left="2880" w:hanging="360"/>
      </w:pPr>
    </w:lvl>
    <w:lvl w:ilvl="4" w:tplc="8AEE3AE0">
      <w:start w:val="1"/>
      <w:numFmt w:val="bullet"/>
      <w:lvlText w:val="○"/>
      <w:lvlJc w:val="left"/>
      <w:pPr>
        <w:ind w:left="3600" w:hanging="360"/>
      </w:pPr>
    </w:lvl>
    <w:lvl w:ilvl="5" w:tplc="07F21F5A">
      <w:start w:val="1"/>
      <w:numFmt w:val="bullet"/>
      <w:lvlText w:val="■"/>
      <w:lvlJc w:val="left"/>
      <w:pPr>
        <w:ind w:left="4320" w:hanging="360"/>
      </w:pPr>
    </w:lvl>
    <w:lvl w:ilvl="6" w:tplc="033EBC74">
      <w:start w:val="1"/>
      <w:numFmt w:val="bullet"/>
      <w:lvlText w:val="●"/>
      <w:lvlJc w:val="left"/>
      <w:pPr>
        <w:ind w:left="5040" w:hanging="360"/>
      </w:pPr>
    </w:lvl>
    <w:lvl w:ilvl="7" w:tplc="551EE14E">
      <w:start w:val="1"/>
      <w:numFmt w:val="bullet"/>
      <w:lvlText w:val="●"/>
      <w:lvlJc w:val="left"/>
      <w:pPr>
        <w:ind w:left="5760" w:hanging="360"/>
      </w:pPr>
    </w:lvl>
    <w:lvl w:ilvl="8" w:tplc="22A6AA80">
      <w:start w:val="1"/>
      <w:numFmt w:val="bullet"/>
      <w:lvlText w:val="●"/>
      <w:lvlJc w:val="left"/>
      <w:pPr>
        <w:ind w:left="6480" w:hanging="360"/>
      </w:pPr>
    </w:lvl>
  </w:abstractNum>
  <w:num w:numId="1" w16cid:durableId="12976872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3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C73"/>
    <w:rsid w:val="0005253A"/>
    <w:rsid w:val="00077216"/>
    <w:rsid w:val="000B5DC1"/>
    <w:rsid w:val="001E2D45"/>
    <w:rsid w:val="003B232E"/>
    <w:rsid w:val="00524C45"/>
    <w:rsid w:val="0059694E"/>
    <w:rsid w:val="00710F7C"/>
    <w:rsid w:val="008B6C73"/>
    <w:rsid w:val="00A71799"/>
    <w:rsid w:val="00B32E4C"/>
    <w:rsid w:val="00ED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5C03BD"/>
  <w15:docId w15:val="{DF4EEE37-1579-7F42-99F4-150BE56A5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969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694E"/>
  </w:style>
  <w:style w:type="paragraph" w:styleId="Footer">
    <w:name w:val="footer"/>
    <w:basedOn w:val="Normal"/>
    <w:link w:val="FooterChar"/>
    <w:uiPriority w:val="99"/>
    <w:unhideWhenUsed/>
    <w:rsid w:val="005969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845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nkd2128</cp:lastModifiedBy>
  <cp:revision>2</cp:revision>
  <dcterms:created xsi:type="dcterms:W3CDTF">2026-07-12T22:18:00Z</dcterms:created>
  <dcterms:modified xsi:type="dcterms:W3CDTF">2026-07-12T22:18:00Z</dcterms:modified>
</cp:coreProperties>
</file>