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18865A95"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20" w:type="dxa"/>
              <w:left w:w="160" w:type="dxa"/>
              <w:bottom w:w="10" w:type="dxa"/>
              <w:right w:w="160" w:type="dxa"/>
            </w:tcMar>
          </w:tcPr>
          <w:p w14:paraId="7B3AC437" w14:textId="77777777" w:rsidR="008B6C73" w:rsidRDefault="00000000">
            <w:r>
              <w:rPr>
                <w:rFonts w:ascii="Calibri" w:eastAsia="Calibri" w:hAnsi="Calibri" w:cs="Calibri"/>
                <w:b/>
                <w:bCs/>
                <w:color w:val="FFFFFF"/>
                <w:sz w:val="46"/>
                <w:szCs w:val="46"/>
              </w:rPr>
              <w:t>DC Building Energy Performance Standards (BEPS)</w:t>
            </w:r>
          </w:p>
        </w:tc>
      </w:tr>
      <w:tr w:rsidR="008B6C73" w14:paraId="451D9B38"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4" w:type="dxa"/>
              <w:left w:w="160" w:type="dxa"/>
              <w:bottom w:w="4" w:type="dxa"/>
              <w:right w:w="160" w:type="dxa"/>
            </w:tcMar>
          </w:tcPr>
          <w:p w14:paraId="754DCF7B" w14:textId="77777777" w:rsidR="008B6C73" w:rsidRDefault="00000000">
            <w:r>
              <w:rPr>
                <w:rFonts w:ascii="Calibri" w:eastAsia="Calibri" w:hAnsi="Calibri" w:cs="Calibri"/>
                <w:b/>
                <w:bCs/>
                <w:color w:val="D8F0ED"/>
                <w:sz w:val="16"/>
                <w:szCs w:val="16"/>
              </w:rPr>
              <w:t xml:space="preserve">Washington, D.C.  </w:t>
            </w:r>
            <w:proofErr w:type="gramStart"/>
            <w:r>
              <w:rPr>
                <w:rFonts w:ascii="Calibri" w:eastAsia="Calibri" w:hAnsi="Calibri" w:cs="Calibri"/>
                <w:b/>
                <w:bCs/>
                <w:color w:val="D8F0ED"/>
                <w:sz w:val="16"/>
                <w:szCs w:val="16"/>
              </w:rPr>
              <w:t>·  Est.</w:t>
            </w:r>
            <w:proofErr w:type="gramEnd"/>
            <w:r>
              <w:rPr>
                <w:rFonts w:ascii="Calibri" w:eastAsia="Calibri" w:hAnsi="Calibri" w:cs="Calibri"/>
                <w:b/>
                <w:bCs/>
                <w:color w:val="D8F0ED"/>
                <w:sz w:val="16"/>
                <w:szCs w:val="16"/>
              </w:rPr>
              <w:t xml:space="preserve"> </w:t>
            </w:r>
            <w:proofErr w:type="gramStart"/>
            <w:r>
              <w:rPr>
                <w:rFonts w:ascii="Calibri" w:eastAsia="Calibri" w:hAnsi="Calibri" w:cs="Calibri"/>
                <w:b/>
                <w:bCs/>
                <w:color w:val="D8F0ED"/>
                <w:sz w:val="16"/>
                <w:szCs w:val="16"/>
              </w:rPr>
              <w:t>2018  ·</w:t>
            </w:r>
            <w:proofErr w:type="gramEnd"/>
            <w:r>
              <w:rPr>
                <w:rFonts w:ascii="Calibri" w:eastAsia="Calibri" w:hAnsi="Calibri" w:cs="Calibri"/>
                <w:b/>
                <w:bCs/>
                <w:color w:val="D8F0ED"/>
                <w:sz w:val="16"/>
                <w:szCs w:val="16"/>
              </w:rPr>
              <w:t xml:space="preserve">  Penalty-Funded Sustainable Energy Trust Fund</w:t>
            </w:r>
          </w:p>
        </w:tc>
      </w:tr>
      <w:tr w:rsidR="008B6C73" w14:paraId="5B852E93" w14:textId="77777777">
        <w:tc>
          <w:tcPr>
            <w:tcW w:w="0" w:type="auto"/>
            <w:tcBorders>
              <w:top w:val="none" w:sz="0" w:space="0" w:color="FFFFFF"/>
              <w:left w:val="none" w:sz="0" w:space="0" w:color="FFFFFF"/>
              <w:bottom w:val="none" w:sz="0" w:space="0" w:color="FFFFFF"/>
              <w:right w:val="none" w:sz="0" w:space="0" w:color="FFFFFF"/>
            </w:tcBorders>
            <w:shd w:val="clear" w:color="auto" w:fill="1B4332"/>
            <w:tcMar>
              <w:top w:w="40" w:type="dxa"/>
              <w:left w:w="160" w:type="dxa"/>
              <w:bottom w:w="40" w:type="dxa"/>
              <w:right w:w="160" w:type="dxa"/>
            </w:tcMar>
          </w:tcPr>
          <w:p w14:paraId="1BD87ECD" w14:textId="77777777" w:rsidR="008B6C73" w:rsidRDefault="00000000">
            <w:r>
              <w:rPr>
                <w:rFonts w:ascii="Calibri" w:eastAsia="Calibri" w:hAnsi="Calibri" w:cs="Calibri"/>
                <w:b/>
                <w:bCs/>
                <w:color w:val="B7E4C7"/>
                <w:sz w:val="15"/>
                <w:szCs w:val="15"/>
              </w:rPr>
              <w:t>$10/sq ft Penalty, Cap $7.5</w:t>
            </w:r>
            <w:proofErr w:type="gramStart"/>
            <w:r>
              <w:rPr>
                <w:rFonts w:ascii="Calibri" w:eastAsia="Calibri" w:hAnsi="Calibri" w:cs="Calibri"/>
                <w:b/>
                <w:bCs/>
                <w:color w:val="B7E4C7"/>
                <w:sz w:val="15"/>
                <w:szCs w:val="15"/>
              </w:rPr>
              <w:t>M  ·</w:t>
            </w:r>
            <w:proofErr w:type="gramEnd"/>
            <w:r>
              <w:rPr>
                <w:rFonts w:ascii="Calibri" w:eastAsia="Calibri" w:hAnsi="Calibri" w:cs="Calibri"/>
                <w:b/>
                <w:bCs/>
                <w:color w:val="B7E4C7"/>
                <w:sz w:val="15"/>
                <w:szCs w:val="15"/>
              </w:rPr>
              <w:t xml:space="preserve">  Sustainable Energy Trust </w:t>
            </w:r>
            <w:proofErr w:type="gramStart"/>
            <w:r>
              <w:rPr>
                <w:rFonts w:ascii="Calibri" w:eastAsia="Calibri" w:hAnsi="Calibri" w:cs="Calibri"/>
                <w:b/>
                <w:bCs/>
                <w:color w:val="B7E4C7"/>
                <w:sz w:val="15"/>
                <w:szCs w:val="15"/>
              </w:rPr>
              <w:t>Fund  ·</w:t>
            </w:r>
            <w:proofErr w:type="gramEnd"/>
            <w:r>
              <w:rPr>
                <w:rFonts w:ascii="Calibri" w:eastAsia="Calibri" w:hAnsi="Calibri" w:cs="Calibri"/>
                <w:b/>
                <w:bCs/>
                <w:color w:val="B7E4C7"/>
                <w:sz w:val="15"/>
                <w:szCs w:val="15"/>
              </w:rPr>
              <w:t xml:space="preserve">  Intermediate Pathway</w:t>
            </w:r>
          </w:p>
        </w:tc>
      </w:tr>
    </w:tbl>
    <w:p w14:paraId="1F58AEC5" w14:textId="77777777" w:rsidR="008B6C73" w:rsidRDefault="008B6C73">
      <w:pPr>
        <w:spacing w:after="40"/>
      </w:pPr>
    </w:p>
    <w:p w14:paraId="28358E97" w14:textId="77777777" w:rsidR="008B6C73" w:rsidRDefault="008B6C73">
      <w:pPr>
        <w:pBdr>
          <w:bottom w:val="single" w:sz="6" w:space="1" w:color="C5DDD9"/>
        </w:pBdr>
      </w:pPr>
    </w:p>
    <w:p w14:paraId="29ABF439"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49039206"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44C4FF7B"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489E42E" w14:textId="77777777" w:rsidR="008B6C73" w:rsidRDefault="00000000">
            <w:r>
              <w:rPr>
                <w:rFonts w:ascii="Calibri" w:eastAsia="Calibri" w:hAnsi="Calibri" w:cs="Calibri"/>
                <w:b/>
                <w:bCs/>
                <w:color w:val="2D6A4F"/>
                <w:sz w:val="16"/>
                <w:szCs w:val="16"/>
              </w:rPr>
              <w:t>WHAT IS IT?</w:t>
            </w:r>
          </w:p>
        </w:tc>
      </w:tr>
    </w:tbl>
    <w:p w14:paraId="2905DDCD" w14:textId="77777777" w:rsidR="008B6C73" w:rsidRDefault="008B6C73">
      <w:pPr>
        <w:spacing w:after="25"/>
      </w:pPr>
    </w:p>
    <w:p w14:paraId="611AD158" w14:textId="77777777" w:rsidR="008B6C73" w:rsidRDefault="00000000">
      <w:r>
        <w:rPr>
          <w:rFonts w:ascii="Calibri" w:eastAsia="Calibri" w:hAnsi="Calibri" w:cs="Calibri"/>
          <w:color w:val="1A1A1A"/>
          <w:sz w:val="16"/>
          <w:szCs w:val="16"/>
        </w:rPr>
        <w:t>DC's Building Energy Performance Standards (BEPS) require large buildings to meet minimum energy performance thresholds measured using Energy Star median scores by property type. Buildings over 10,000 square feet must comply across three performance cycles running through 2040. Non-compliant buildings pay a penalty of $10 per square foot, capped at $7.5 million per building. Crucially, all penalty revenue flows into the Sustainable Energy Trust Fund — not the general city budget — where it is reinvested in clean energy programs, low-income housing efficiency upgrades, and BEPS implementation support. This makes DC BEPS one of the most well-designed examples of using building performance enforcement as an energy affordability tool.</w:t>
      </w:r>
    </w:p>
    <w:p w14:paraId="5CDE0EEF"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5EEA6EF"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4DEFCB3A"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3545933" w14:textId="77777777" w:rsidR="008B6C73" w:rsidRDefault="00000000">
            <w:r>
              <w:rPr>
                <w:rFonts w:ascii="Calibri" w:eastAsia="Calibri" w:hAnsi="Calibri" w:cs="Calibri"/>
                <w:b/>
                <w:bCs/>
                <w:color w:val="2D6A4F"/>
                <w:sz w:val="16"/>
                <w:szCs w:val="16"/>
              </w:rPr>
              <w:t>EVIDENCE HIGHLIGHTS</w:t>
            </w:r>
          </w:p>
        </w:tc>
      </w:tr>
    </w:tbl>
    <w:p w14:paraId="3F86FB83"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2DF7CB10"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386BB585" w14:textId="77777777" w:rsidR="008B6C73" w:rsidRDefault="00000000">
            <w:r>
              <w:rPr>
                <w:rFonts w:ascii="Calibri" w:eastAsia="Calibri" w:hAnsi="Calibri" w:cs="Calibri"/>
                <w:b/>
                <w:bCs/>
                <w:color w:val="1B4332"/>
                <w:sz w:val="16"/>
                <w:szCs w:val="16"/>
              </w:rPr>
              <w:t>Office Buildings</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171F7C7F" w14:textId="77777777" w:rsidR="008B6C73" w:rsidRDefault="00000000">
            <w:r>
              <w:rPr>
                <w:rFonts w:ascii="Calibri" w:eastAsia="Calibri" w:hAnsi="Calibri" w:cs="Calibri"/>
                <w:color w:val="1A1A1A"/>
                <w:sz w:val="16"/>
                <w:szCs w:val="16"/>
              </w:rPr>
              <w:t>As of February 2025, ~71% of DC office buildings over 50,000 sq ft had energy scores above the BEPS compliance threshold</w:t>
            </w:r>
          </w:p>
        </w:tc>
      </w:tr>
      <w:tr w:rsidR="008B6C73" w14:paraId="4A1432FE"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1635DDC3" w14:textId="77777777" w:rsidR="008B6C73" w:rsidRDefault="00000000">
            <w:r>
              <w:rPr>
                <w:rFonts w:ascii="Calibri" w:eastAsia="Calibri" w:hAnsi="Calibri" w:cs="Calibri"/>
                <w:b/>
                <w:bCs/>
                <w:color w:val="1B4332"/>
                <w:sz w:val="16"/>
                <w:szCs w:val="16"/>
              </w:rPr>
              <w:t>Multifamily Buildings</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2B89371E" w14:textId="77777777" w:rsidR="008B6C73" w:rsidRDefault="00000000">
            <w:r>
              <w:rPr>
                <w:rFonts w:ascii="Calibri" w:eastAsia="Calibri" w:hAnsi="Calibri" w:cs="Calibri"/>
                <w:color w:val="1A1A1A"/>
                <w:sz w:val="16"/>
                <w:szCs w:val="16"/>
              </w:rPr>
              <w:t>~68% of covered multifamily buildings met the BEPS threshold as of early 2025. First compliance cycle ends December 31, 2026</w:t>
            </w:r>
          </w:p>
        </w:tc>
      </w:tr>
      <w:tr w:rsidR="008B6C73" w14:paraId="69809DAE"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03F523DA" w14:textId="77777777" w:rsidR="008B6C73" w:rsidRDefault="00000000">
            <w:r>
              <w:rPr>
                <w:rFonts w:ascii="Calibri" w:eastAsia="Calibri" w:hAnsi="Calibri" w:cs="Calibri"/>
                <w:b/>
                <w:bCs/>
                <w:color w:val="1B4332"/>
                <w:sz w:val="16"/>
                <w:szCs w:val="16"/>
              </w:rPr>
              <w:t>Companion Infrastructure</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6E6D130C" w14:textId="77777777" w:rsidR="008B6C73" w:rsidRDefault="00000000">
            <w:r>
              <w:rPr>
                <w:rFonts w:ascii="Calibri" w:eastAsia="Calibri" w:hAnsi="Calibri" w:cs="Calibri"/>
                <w:color w:val="1A1A1A"/>
                <w:sz w:val="16"/>
                <w:szCs w:val="16"/>
              </w:rPr>
              <w:t>Building Innovation Hub, Affordable Housing Retrofit Accelerator, and DC Green Bank (14.1× leverage ratio) developed alongside BEPS</w:t>
            </w:r>
          </w:p>
        </w:tc>
      </w:tr>
    </w:tbl>
    <w:p w14:paraId="062E12D4"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87C7FB8"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3094F0B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CE42C18" w14:textId="77777777" w:rsidR="008B6C73" w:rsidRDefault="00000000">
            <w:r>
              <w:rPr>
                <w:rFonts w:ascii="Calibri" w:eastAsia="Calibri" w:hAnsi="Calibri" w:cs="Calibri"/>
                <w:b/>
                <w:bCs/>
                <w:color w:val="2D6A4F"/>
                <w:sz w:val="16"/>
                <w:szCs w:val="16"/>
              </w:rPr>
              <w:t>HOW IT WORKS</w:t>
            </w:r>
          </w:p>
        </w:tc>
      </w:tr>
    </w:tbl>
    <w:p w14:paraId="1B3C7802"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35F23158" w14:textId="77777777">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79D4A71C" w14:textId="77777777" w:rsidR="008B6C73" w:rsidRDefault="00000000">
            <w:pPr>
              <w:spacing w:after="30"/>
            </w:pPr>
            <w:r>
              <w:rPr>
                <w:rFonts w:ascii="Calibri" w:eastAsia="Calibri" w:hAnsi="Calibri" w:cs="Calibri"/>
                <w:b/>
                <w:bCs/>
                <w:color w:val="2D6A4F"/>
                <w:sz w:val="16"/>
                <w:szCs w:val="16"/>
              </w:rPr>
              <w:t>① Benchmark Baseline</w:t>
            </w:r>
          </w:p>
          <w:p w14:paraId="6E1BDAD3" w14:textId="77777777" w:rsidR="008B6C73" w:rsidRDefault="00000000">
            <w:r>
              <w:rPr>
                <w:rFonts w:ascii="Calibri" w:eastAsia="Calibri" w:hAnsi="Calibri" w:cs="Calibri"/>
                <w:color w:val="1A1A1A"/>
                <w:sz w:val="16"/>
                <w:szCs w:val="16"/>
              </w:rPr>
              <w:t>Mandatory benchmarking in place since 2013 for buildings &gt;50K sq ft. Baseline data makes performance standards credible and enforceable.</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3DA6C205" w14:textId="77777777" w:rsidR="008B6C73" w:rsidRDefault="00000000">
            <w:pPr>
              <w:spacing w:after="30"/>
            </w:pPr>
            <w:r>
              <w:rPr>
                <w:rFonts w:ascii="Calibri" w:eastAsia="Calibri" w:hAnsi="Calibri" w:cs="Calibri"/>
                <w:b/>
                <w:bCs/>
                <w:color w:val="2D6A4F"/>
                <w:sz w:val="16"/>
                <w:szCs w:val="16"/>
              </w:rPr>
              <w:t>② Performance Standard</w:t>
            </w:r>
          </w:p>
          <w:p w14:paraId="416E0CEA" w14:textId="77777777" w:rsidR="008B6C73" w:rsidRDefault="00000000">
            <w:r>
              <w:rPr>
                <w:rFonts w:ascii="Calibri" w:eastAsia="Calibri" w:hAnsi="Calibri" w:cs="Calibri"/>
                <w:color w:val="1A1A1A"/>
                <w:sz w:val="16"/>
                <w:szCs w:val="16"/>
              </w:rPr>
              <w:t>Buildings &gt;10K sq ft must meet Energy Star median scores by property type. Three compliance cycles through 2040, each with tighter targets.</w:t>
            </w:r>
          </w:p>
        </w:tc>
      </w:tr>
      <w:tr w:rsidR="008B6C73" w14:paraId="5087E5C0"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275BC99F" w14:textId="77777777" w:rsidR="008B6C73" w:rsidRDefault="00000000">
            <w:pPr>
              <w:spacing w:after="30"/>
            </w:pPr>
            <w:r>
              <w:rPr>
                <w:rFonts w:ascii="Calibri" w:eastAsia="Calibri" w:hAnsi="Calibri" w:cs="Calibri"/>
                <w:b/>
                <w:bCs/>
                <w:color w:val="2D6A4F"/>
                <w:sz w:val="16"/>
                <w:szCs w:val="16"/>
              </w:rPr>
              <w:t>③ Penalty + Fund</w:t>
            </w:r>
          </w:p>
          <w:p w14:paraId="0752ABA3" w14:textId="77777777" w:rsidR="008B6C73" w:rsidRDefault="00000000">
            <w:r>
              <w:rPr>
                <w:rFonts w:ascii="Calibri" w:eastAsia="Calibri" w:hAnsi="Calibri" w:cs="Calibri"/>
                <w:color w:val="1A1A1A"/>
                <w:sz w:val="16"/>
                <w:szCs w:val="16"/>
              </w:rPr>
              <w:t>Non-compliant buildings pay $10/sq ft (max $7.5M). Revenue flows into the Sustainable Energy Trust Fund — not the general budget.</w:t>
            </w:r>
          </w:p>
        </w:tc>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098F3BA6" w14:textId="77777777" w:rsidR="008B6C73" w:rsidRDefault="00000000">
            <w:pPr>
              <w:spacing w:after="30"/>
            </w:pPr>
            <w:r>
              <w:rPr>
                <w:rFonts w:ascii="Calibri" w:eastAsia="Calibri" w:hAnsi="Calibri" w:cs="Calibri"/>
                <w:b/>
                <w:bCs/>
                <w:color w:val="2D6A4F"/>
                <w:sz w:val="16"/>
                <w:szCs w:val="16"/>
              </w:rPr>
              <w:t>④ Reinvestment</w:t>
            </w:r>
          </w:p>
          <w:p w14:paraId="56F001F5" w14:textId="77777777" w:rsidR="008B6C73" w:rsidRDefault="00000000">
            <w:r>
              <w:rPr>
                <w:rFonts w:ascii="Calibri" w:eastAsia="Calibri" w:hAnsi="Calibri" w:cs="Calibri"/>
                <w:color w:val="1A1A1A"/>
                <w:sz w:val="16"/>
                <w:szCs w:val="16"/>
              </w:rPr>
              <w:t>Fund supports clean energy programs, low-income housing efficiency upgrades, and BEPS technical compliance assistance for smaller and affordable buildings.</w:t>
            </w:r>
          </w:p>
        </w:tc>
      </w:tr>
    </w:tbl>
    <w:p w14:paraId="0885D71D"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B248831"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119A1747"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F7BCAEB" w14:textId="77777777" w:rsidR="008B6C73" w:rsidRDefault="00000000">
            <w:r>
              <w:rPr>
                <w:rFonts w:ascii="Calibri" w:eastAsia="Calibri" w:hAnsi="Calibri" w:cs="Calibri"/>
                <w:b/>
                <w:bCs/>
                <w:color w:val="2D6A4F"/>
                <w:sz w:val="16"/>
                <w:szCs w:val="16"/>
              </w:rPr>
              <w:t>ENABLING CONDITIONS &amp; REPLICATION</w:t>
            </w:r>
          </w:p>
        </w:tc>
      </w:tr>
    </w:tbl>
    <w:p w14:paraId="33898C14"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551CA71A" w14:textId="77777777">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3ECFB1A9"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40DF646E" w14:textId="77777777" w:rsidR="008B6C73" w:rsidRDefault="00000000">
            <w:r>
              <w:rPr>
                <w:rFonts w:ascii="Calibri" w:eastAsia="Calibri" w:hAnsi="Calibri" w:cs="Calibri"/>
                <w:b/>
                <w:bCs/>
                <w:color w:val="FFFFFF"/>
                <w:sz w:val="16"/>
                <w:szCs w:val="16"/>
              </w:rPr>
              <w:t>Who Can Replicate This</w:t>
            </w:r>
          </w:p>
        </w:tc>
      </w:tr>
      <w:tr w:rsidR="008B6C73" w14:paraId="7DA06D4D"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474373CD" w14:textId="77777777" w:rsidR="008B6C73" w:rsidRDefault="00000000">
            <w:r>
              <w:rPr>
                <w:rFonts w:ascii="Calibri" w:eastAsia="Calibri" w:hAnsi="Calibri" w:cs="Calibri"/>
                <w:color w:val="1A1A1A"/>
                <w:sz w:val="16"/>
                <w:szCs w:val="16"/>
              </w:rPr>
              <w:t>Home rule or state enabling legislation (DC Clean Energy Omnibus Amendment Act, 2018)</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01BE53C5" w14:textId="77777777" w:rsidR="008B6C73" w:rsidRDefault="00000000">
            <w:r>
              <w:rPr>
                <w:rFonts w:ascii="Calibri" w:eastAsia="Calibri" w:hAnsi="Calibri" w:cs="Calibri"/>
                <w:color w:val="1A1A1A"/>
                <w:sz w:val="16"/>
                <w:szCs w:val="16"/>
              </w:rPr>
              <w:t xml:space="preserve">Cities with existing mandatory benchmarking programs (NYC, Chicago, Boston, Seattle, </w:t>
            </w:r>
            <w:proofErr w:type="gramStart"/>
            <w:r>
              <w:rPr>
                <w:rFonts w:ascii="Calibri" w:eastAsia="Calibri" w:hAnsi="Calibri" w:cs="Calibri"/>
                <w:color w:val="1A1A1A"/>
                <w:sz w:val="16"/>
                <w:szCs w:val="16"/>
              </w:rPr>
              <w:t>Denver</w:t>
            </w:r>
            <w:proofErr w:type="gramEnd"/>
            <w:r>
              <w:rPr>
                <w:rFonts w:ascii="Calibri" w:eastAsia="Calibri" w:hAnsi="Calibri" w:cs="Calibri"/>
                <w:color w:val="1A1A1A"/>
                <w:sz w:val="16"/>
                <w:szCs w:val="16"/>
              </w:rPr>
              <w:t xml:space="preserve"> all have this)</w:t>
            </w:r>
          </w:p>
        </w:tc>
      </w:tr>
      <w:tr w:rsidR="008B6C73" w14:paraId="0D9EA001"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0E8E20C8" w14:textId="77777777" w:rsidR="008B6C73" w:rsidRDefault="00000000">
            <w:r>
              <w:rPr>
                <w:rFonts w:ascii="Calibri" w:eastAsia="Calibri" w:hAnsi="Calibri" w:cs="Calibri"/>
                <w:color w:val="1A1A1A"/>
                <w:sz w:val="16"/>
                <w:szCs w:val="16"/>
              </w:rPr>
              <w:t>Prior mandatory benchmarking (since 2013) provided baseline data for credible standard-setting</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D8C6228" w14:textId="77777777" w:rsidR="008B6C73" w:rsidRDefault="00000000">
            <w:r>
              <w:rPr>
                <w:rFonts w:ascii="Calibri" w:eastAsia="Calibri" w:hAnsi="Calibri" w:cs="Calibri"/>
                <w:color w:val="1A1A1A"/>
                <w:sz w:val="16"/>
                <w:szCs w:val="16"/>
              </w:rPr>
              <w:t>Cities with home-rule or state BPS enabling legislation</w:t>
            </w:r>
          </w:p>
        </w:tc>
      </w:tr>
      <w:tr w:rsidR="008B6C73" w14:paraId="74777AF0"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196D096D" w14:textId="77777777" w:rsidR="008B6C73" w:rsidRDefault="00000000">
            <w:r>
              <w:rPr>
                <w:rFonts w:ascii="Calibri" w:eastAsia="Calibri" w:hAnsi="Calibri" w:cs="Calibri"/>
                <w:color w:val="1A1A1A"/>
                <w:sz w:val="16"/>
                <w:szCs w:val="16"/>
              </w:rPr>
              <w:t>Dedicated reinvestment fund design — penalties funding SETF, not general budget</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070F63E2" w14:textId="77777777" w:rsidR="008B6C73" w:rsidRDefault="00000000">
            <w:r>
              <w:rPr>
                <w:rFonts w:ascii="Calibri" w:eastAsia="Calibri" w:hAnsi="Calibri" w:cs="Calibri"/>
                <w:color w:val="1A1A1A"/>
                <w:sz w:val="16"/>
                <w:szCs w:val="16"/>
              </w:rPr>
              <w:t>Cities willing to design penalty revenue flows into a dedicated affordability fund from the outset</w:t>
            </w:r>
          </w:p>
        </w:tc>
      </w:tr>
      <w:tr w:rsidR="008B6C73" w14:paraId="28F18197"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26B43EFA" w14:textId="77777777" w:rsidR="008B6C73" w:rsidRDefault="00000000">
            <w:r>
              <w:rPr>
                <w:rFonts w:ascii="Calibri" w:eastAsia="Calibri" w:hAnsi="Calibri" w:cs="Calibri"/>
                <w:color w:val="1A1A1A"/>
                <w:sz w:val="16"/>
                <w:szCs w:val="16"/>
              </w:rPr>
              <w:t>Companion institutions: DC Green Bank, Building Innovation Hub, Retrofit Accelerator</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6BE0C4F9" w14:textId="77777777" w:rsidR="008B6C73" w:rsidRDefault="00000000">
            <w:r>
              <w:rPr>
                <w:rFonts w:ascii="Calibri" w:eastAsia="Calibri" w:hAnsi="Calibri" w:cs="Calibri"/>
                <w:color w:val="1A1A1A"/>
                <w:sz w:val="16"/>
                <w:szCs w:val="16"/>
              </w:rPr>
              <w:t>Cities that can develop or partner with a green bank or financing institution alongside the standard</w:t>
            </w:r>
          </w:p>
        </w:tc>
      </w:tr>
      <w:tr w:rsidR="008B6C73" w14:paraId="6B27D65E"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54053E85" w14:textId="77777777" w:rsidR="008B6C73" w:rsidRDefault="00000000">
            <w:r>
              <w:rPr>
                <w:rFonts w:ascii="Calibri" w:eastAsia="Calibri" w:hAnsi="Calibri" w:cs="Calibri"/>
                <w:color w:val="1A1A1A"/>
                <w:sz w:val="16"/>
                <w:szCs w:val="16"/>
              </w:rPr>
              <w:t>Technical compliance capacity in the DC Department of Energy and Environment</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683C44CA" w14:textId="77777777" w:rsidR="008B6C73" w:rsidRDefault="00000000">
            <w:r>
              <w:rPr>
                <w:rFonts w:ascii="Calibri" w:eastAsia="Calibri" w:hAnsi="Calibri" w:cs="Calibri"/>
                <w:color w:val="1A1A1A"/>
                <w:sz w:val="16"/>
                <w:szCs w:val="16"/>
              </w:rPr>
              <w:t>Cities with large commercial and multifamily building stock and climate mandates</w:t>
            </w:r>
          </w:p>
        </w:tc>
      </w:tr>
    </w:tbl>
    <w:p w14:paraId="7257BDF2" w14:textId="77777777" w:rsidR="008B6C73" w:rsidRDefault="008B6C73">
      <w:pPr>
        <w:spacing w:after="30"/>
      </w:pPr>
    </w:p>
    <w:p w14:paraId="2B1ED90A" w14:textId="77777777" w:rsidR="008B6C73" w:rsidRDefault="00000000">
      <w:r>
        <w:br w:type="page"/>
      </w: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44458A"/>
    <w:rsid w:val="005A46B9"/>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2026-07-11T01:15:00Z</dcterms:created>
  <dcterms:modified xsi:type="dcterms:W3CDTF">2026-07-11T01:15:00Z</dcterms:modified>
</cp:coreProperties>
</file>