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2E9B88E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D4B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5B217BE9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DC Green Bank</w:t>
            </w:r>
          </w:p>
        </w:tc>
      </w:tr>
      <w:tr w:rsidR="008B6C73" w14:paraId="7A5311F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D4B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1FE048BC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DC Green Finance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Authority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Washington, D.C.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·  Est.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2020</w:t>
            </w:r>
          </w:p>
        </w:tc>
      </w:tr>
      <w:tr w:rsidR="008B6C73" w14:paraId="6DE5169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332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5FE4F703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14.1× Private-to-Public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>Leverage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  Quasi-Public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>Lending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  Intermediate Pathway — Green Banks &amp; Revolving Loan Funds</w:t>
            </w:r>
          </w:p>
        </w:tc>
      </w:tr>
    </w:tbl>
    <w:p w14:paraId="08A16DCA" w14:textId="77777777" w:rsidR="008B6C73" w:rsidRDefault="008B6C73">
      <w:pPr>
        <w:spacing w:after="40"/>
      </w:pPr>
    </w:p>
    <w:p w14:paraId="33FD8F76" w14:textId="77777777" w:rsidR="008B6C73" w:rsidRDefault="008B6C73">
      <w:pPr>
        <w:pBdr>
          <w:bottom w:val="single" w:sz="6" w:space="1" w:color="C5DDD9"/>
        </w:pBdr>
      </w:pPr>
    </w:p>
    <w:p w14:paraId="21757ABC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0D6CFB81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421C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12DEEE69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WHAT IS IT?</w:t>
            </w:r>
          </w:p>
        </w:tc>
      </w:tr>
    </w:tbl>
    <w:p w14:paraId="28F930AC" w14:textId="77777777" w:rsidR="008B6C73" w:rsidRDefault="008B6C73">
      <w:pPr>
        <w:spacing w:after="25"/>
      </w:pPr>
    </w:p>
    <w:p w14:paraId="7ACD01C9" w14:textId="77777777" w:rsidR="008B6C73" w:rsidRDefault="00000000">
      <w:r>
        <w:rPr>
          <w:rFonts w:ascii="Calibri" w:eastAsia="Calibri" w:hAnsi="Calibri" w:cs="Calibri"/>
          <w:color w:val="1A1A1A"/>
          <w:sz w:val="16"/>
          <w:szCs w:val="16"/>
        </w:rPr>
        <w:t>The DC Green Bank (DC Green Finance Authority) is a quasi-public institution created by a 2018 DC Council enabling act and operational since 2020. It uses a relatively small amount of public seed capital to attract and leverage private investment in clean-energy and efficiency projects that would otherwise not be financed at scale. It offers loans, co-lending arrangements, and credit support to borrowers, including affordable multifamily housing owners, nonprofits, and community-serving buildings, who struggle to access affordable private financing for clean-energy and efficiency upgrades.</w:t>
      </w:r>
    </w:p>
    <w:p w14:paraId="25CA6AEA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594CD1E0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6640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49839DE2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EVIDENCE HIGHLIGHTS</w:t>
            </w:r>
          </w:p>
        </w:tc>
      </w:tr>
    </w:tbl>
    <w:p w14:paraId="731C51FE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060"/>
      </w:tblGrid>
      <w:tr w:rsidR="008B6C73" w14:paraId="723FCBB6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827263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Leverage Ratio (FY2024)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76B163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14.1× private-to-public leverage — every dollar of public capital mobilized ~$14 in total investment</w:t>
            </w:r>
          </w:p>
        </w:tc>
      </w:tr>
      <w:tr w:rsidR="008B6C73" w14:paraId="38C0C00A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770ADE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Comparable Benchmarks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5E8A2F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Leverage ratios comparable to established peers such as the New York Green Bank and Connecticut Green Bank</w:t>
            </w:r>
          </w:p>
        </w:tc>
      </w:tr>
      <w:tr w:rsidR="008B6C73" w14:paraId="1B60485E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93FF19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Governance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29AE362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Led by the DC Green Finance Authority under an independent board</w:t>
            </w:r>
          </w:p>
        </w:tc>
      </w:tr>
      <w:tr w:rsidR="008B6C73" w14:paraId="56CE66F5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C4FB97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Key Partners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AF4A799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DC Dept. of Energy &amp; Environment, private banks, CDFIs, and affordable housing developers</w:t>
            </w:r>
          </w:p>
        </w:tc>
      </w:tr>
      <w:tr w:rsidR="008B6C73" w14:paraId="3801E8B0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509EB1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Enabling Legislation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7AE4D66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2018 DC Council enabling act — no federal legislation required</w:t>
            </w:r>
          </w:p>
        </w:tc>
      </w:tr>
      <w:tr w:rsidR="008B6C73" w14:paraId="43EF870D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48757D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Seed Capital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2D0162D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District appropriations plus federal climate-related funding</w:t>
            </w:r>
          </w:p>
        </w:tc>
      </w:tr>
    </w:tbl>
    <w:p w14:paraId="571CDB3B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1F714B5A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5AA7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4689619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HOW IT WORKS</w:t>
            </w:r>
          </w:p>
        </w:tc>
      </w:tr>
    </w:tbl>
    <w:p w14:paraId="58647457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33733949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20D013BC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① Public Seed Capital</w:t>
            </w:r>
          </w:p>
          <w:p w14:paraId="6991DCE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The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District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appropriates seed capital. The Green Bank deploys it as loans, co-investments, or credit enhancements — not grants — allowing capital to revolve and grow over time.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1BD36574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② Private Leverage</w:t>
            </w:r>
          </w:p>
          <w:p w14:paraId="17E7D21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By taking on first-loss positions or co-lending alongside private banks and CDFIs, the Green Bank unlocks private capital that would otherwise not enter affordable-housing or community retrofits.</w:t>
            </w:r>
          </w:p>
        </w:tc>
      </w:tr>
      <w:tr w:rsidR="008B6C73" w14:paraId="7A52A54E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66696E33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③ Targeted Borrowers</w:t>
            </w:r>
          </w:p>
          <w:p w14:paraId="75B57BB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The bank specifically targets affordable multifamily housing owners, nonprofits, and community-serving buildings, filling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 gap conventional lenders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are reluctant to serve.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E57BF25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④ Companion Programs</w:t>
            </w:r>
          </w:p>
          <w:p w14:paraId="174CD9F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The DC Green Bank works alongside BEPS and the Affordable Housing Retrofit Accelerator, creating an integrated compliance-and-finance ecosystem.</w:t>
            </w:r>
          </w:p>
        </w:tc>
      </w:tr>
    </w:tbl>
    <w:p w14:paraId="4F9C939A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68025778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54EF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13E2347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ENABLING CONDITIONS &amp; REPLICATION</w:t>
            </w:r>
          </w:p>
        </w:tc>
      </w:tr>
    </w:tbl>
    <w:p w14:paraId="3CE28BEF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08542030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2D6A4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A1F1488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What Made It Possible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2D6A4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56394E6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Who Can Replicate This</w:t>
            </w:r>
          </w:p>
        </w:tc>
      </w:tr>
      <w:tr w:rsidR="008B6C73" w14:paraId="57FB15A9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E6382D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DC Council authorization creating a quasi-public lending entity with independent governance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A9E5A4C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willing City Councils to authorize and capitalize a quasi-public lending entity</w:t>
            </w:r>
          </w:p>
        </w:tc>
      </w:tr>
      <w:tr w:rsidR="008B6C73" w14:paraId="6AF68841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67ADE7E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Public seed capital from District appropriations ($5M–$50M range to launch)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2B6696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capacity for complex financial instruments and independent governance structures</w:t>
            </w:r>
          </w:p>
        </w:tc>
      </w:tr>
      <w:tr w:rsidR="008B6C73" w14:paraId="63FA891E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ED61EC7" w14:textId="77777777" w:rsidR="008B6C73" w:rsidRDefault="00000000">
            <w:proofErr w:type="gram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Private-sector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co-finance partners (banks, CDFIs, developers) willing to co-invest alongside public capital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76760D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building performance standards generating retrofit demand that needs financing</w:t>
            </w:r>
          </w:p>
        </w:tc>
      </w:tr>
      <w:tr w:rsidR="008B6C73" w14:paraId="1384B9A9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D6B378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BEPS compliance pressure creating demand for the financing the Green Bank provides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53D80D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where private capital is reluctant to serve affordable buildings without a public first-loss partner</w:t>
            </w:r>
          </w:p>
        </w:tc>
      </w:tr>
      <w:tr w:rsidR="008B6C73" w14:paraId="403D30CB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5D33E0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Federal funding opportunities (IRA, DOE) supplementing initial public capital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40007EE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in states with active green bank infrastructure to co-invest or co-originate</w:t>
            </w:r>
          </w:p>
        </w:tc>
      </w:tr>
    </w:tbl>
    <w:p w14:paraId="0685B4FD" w14:textId="77777777" w:rsidR="008B6C73" w:rsidRDefault="008B6C73">
      <w:pPr>
        <w:spacing w:after="30"/>
      </w:pPr>
    </w:p>
    <w:p w14:paraId="527D0E33" w14:textId="77777777" w:rsidR="008B6C73" w:rsidRDefault="00000000">
      <w:r>
        <w:br w:type="page"/>
      </w:r>
    </w:p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5A46B9"/>
    <w:rsid w:val="00791327"/>
    <w:rsid w:val="008B6C73"/>
    <w:rsid w:val="00A71799"/>
    <w:rsid w:val="00D9295B"/>
    <w:rsid w:val="00F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2026-07-11T01:17:00Z</dcterms:created>
  <dcterms:modified xsi:type="dcterms:W3CDTF">2026-07-11T01:17:00Z</dcterms:modified>
</cp:coreProperties>
</file>