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CE6D55D" w14:textId="2C351062" w:rsidR="008B6C73" w:rsidRDefault="008B6C73"/>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8B6C73" w14:paraId="028DAC52" w14:textId="77777777">
        <w:tc>
          <w:tcPr>
            <w:tcW w:w="0" w:type="auto"/>
            <w:tcBorders>
              <w:top w:val="none" w:sz="0" w:space="0" w:color="FFFFFF"/>
              <w:left w:val="none" w:sz="0" w:space="0" w:color="FFFFFF"/>
              <w:bottom w:val="none" w:sz="0" w:space="0" w:color="FFFFFF"/>
              <w:right w:val="none" w:sz="0" w:space="0" w:color="FFFFFF"/>
            </w:tcBorders>
            <w:shd w:val="clear" w:color="auto" w:fill="1B3A5C"/>
            <w:tcMar>
              <w:top w:w="50" w:type="dxa"/>
              <w:left w:w="160" w:type="dxa"/>
              <w:bottom w:w="20" w:type="dxa"/>
              <w:right w:w="160" w:type="dxa"/>
            </w:tcMar>
          </w:tcPr>
          <w:p w14:paraId="2E9418F1" w14:textId="77777777" w:rsidR="008B6C73" w:rsidRDefault="00000000">
            <w:r>
              <w:rPr>
                <w:rFonts w:ascii="Calibri" w:eastAsia="Calibri" w:hAnsi="Calibri" w:cs="Calibri"/>
                <w:b/>
                <w:bCs/>
                <w:color w:val="BBCFCC"/>
                <w:sz w:val="13"/>
                <w:szCs w:val="13"/>
              </w:rPr>
              <w:t xml:space="preserve">PATHWAY </w:t>
            </w:r>
            <w:proofErr w:type="gramStart"/>
            <w:r>
              <w:rPr>
                <w:rFonts w:ascii="Calibri" w:eastAsia="Calibri" w:hAnsi="Calibri" w:cs="Calibri"/>
                <w:b/>
                <w:bCs/>
                <w:color w:val="BBCFCC"/>
                <w:sz w:val="13"/>
                <w:szCs w:val="13"/>
              </w:rPr>
              <w:t>1.3  ·</w:t>
            </w:r>
            <w:proofErr w:type="gramEnd"/>
            <w:r>
              <w:rPr>
                <w:rFonts w:ascii="Calibri" w:eastAsia="Calibri" w:hAnsi="Calibri" w:cs="Calibri"/>
                <w:b/>
                <w:bCs/>
                <w:color w:val="BBCFCC"/>
                <w:sz w:val="13"/>
                <w:szCs w:val="13"/>
              </w:rPr>
              <w:t xml:space="preserve">  UNIVERSAL PATHWAY — DATA INTEGRATION &amp; TARGETING</w:t>
            </w:r>
          </w:p>
        </w:tc>
      </w:tr>
      <w:tr w:rsidR="008B6C73" w14:paraId="17E520E1" w14:textId="77777777">
        <w:tc>
          <w:tcPr>
            <w:tcW w:w="0" w:type="auto"/>
            <w:tcBorders>
              <w:top w:val="none" w:sz="0" w:space="0" w:color="FFFFFF"/>
              <w:left w:val="none" w:sz="0" w:space="0" w:color="FFFFFF"/>
              <w:bottom w:val="none" w:sz="0" w:space="0" w:color="FFFFFF"/>
              <w:right w:val="none" w:sz="0" w:space="0" w:color="FFFFFF"/>
            </w:tcBorders>
            <w:shd w:val="clear" w:color="auto" w:fill="1B3A5C"/>
            <w:tcMar>
              <w:top w:w="20" w:type="dxa"/>
              <w:left w:w="160" w:type="dxa"/>
              <w:bottom w:w="10" w:type="dxa"/>
              <w:right w:w="160" w:type="dxa"/>
            </w:tcMar>
          </w:tcPr>
          <w:p w14:paraId="1018864E" w14:textId="77777777" w:rsidR="008B6C73" w:rsidRDefault="00000000">
            <w:r>
              <w:rPr>
                <w:rFonts w:ascii="Calibri" w:eastAsia="Calibri" w:hAnsi="Calibri" w:cs="Calibri"/>
                <w:b/>
                <w:bCs/>
                <w:color w:val="FFFFFF"/>
                <w:sz w:val="46"/>
                <w:szCs w:val="46"/>
              </w:rPr>
              <w:t>Integrated Data for Evidence &amp; Action (IDEA)</w:t>
            </w:r>
          </w:p>
        </w:tc>
      </w:tr>
      <w:tr w:rsidR="008B6C73" w14:paraId="29C1B582" w14:textId="77777777">
        <w:tc>
          <w:tcPr>
            <w:tcW w:w="0" w:type="auto"/>
            <w:tcBorders>
              <w:top w:val="none" w:sz="0" w:space="0" w:color="FFFFFF"/>
              <w:left w:val="none" w:sz="0" w:space="0" w:color="FFFFFF"/>
              <w:bottom w:val="none" w:sz="0" w:space="0" w:color="FFFFFF"/>
              <w:right w:val="none" w:sz="0" w:space="0" w:color="FFFFFF"/>
            </w:tcBorders>
            <w:shd w:val="clear" w:color="auto" w:fill="1B3A5C"/>
            <w:tcMar>
              <w:top w:w="4" w:type="dxa"/>
              <w:left w:w="160" w:type="dxa"/>
              <w:bottom w:w="4" w:type="dxa"/>
              <w:right w:w="160" w:type="dxa"/>
            </w:tcMar>
          </w:tcPr>
          <w:p w14:paraId="4C2B073E" w14:textId="77777777" w:rsidR="008B6C73" w:rsidRDefault="00000000">
            <w:r>
              <w:rPr>
                <w:rFonts w:ascii="Calibri" w:eastAsia="Calibri" w:hAnsi="Calibri" w:cs="Calibri"/>
                <w:b/>
                <w:bCs/>
                <w:color w:val="D8F0ED"/>
                <w:sz w:val="16"/>
                <w:szCs w:val="16"/>
              </w:rPr>
              <w:t xml:space="preserve">Managing Director's </w:t>
            </w:r>
            <w:proofErr w:type="gramStart"/>
            <w:r>
              <w:rPr>
                <w:rFonts w:ascii="Calibri" w:eastAsia="Calibri" w:hAnsi="Calibri" w:cs="Calibri"/>
                <w:b/>
                <w:bCs/>
                <w:color w:val="D8F0ED"/>
                <w:sz w:val="16"/>
                <w:szCs w:val="16"/>
              </w:rPr>
              <w:t>Office  ·</w:t>
            </w:r>
            <w:proofErr w:type="gramEnd"/>
            <w:r>
              <w:rPr>
                <w:rFonts w:ascii="Calibri" w:eastAsia="Calibri" w:hAnsi="Calibri" w:cs="Calibri"/>
                <w:b/>
                <w:bCs/>
                <w:color w:val="D8F0ED"/>
                <w:sz w:val="16"/>
                <w:szCs w:val="16"/>
              </w:rPr>
              <w:t xml:space="preserve">  City of Philadelphia, </w:t>
            </w:r>
            <w:proofErr w:type="gramStart"/>
            <w:r>
              <w:rPr>
                <w:rFonts w:ascii="Calibri" w:eastAsia="Calibri" w:hAnsi="Calibri" w:cs="Calibri"/>
                <w:b/>
                <w:bCs/>
                <w:color w:val="D8F0ED"/>
                <w:sz w:val="16"/>
                <w:szCs w:val="16"/>
              </w:rPr>
              <w:t>PA  ·</w:t>
            </w:r>
            <w:proofErr w:type="gramEnd"/>
            <w:r>
              <w:rPr>
                <w:rFonts w:ascii="Calibri" w:eastAsia="Calibri" w:hAnsi="Calibri" w:cs="Calibri"/>
                <w:b/>
                <w:bCs/>
                <w:color w:val="D8F0ED"/>
                <w:sz w:val="16"/>
                <w:szCs w:val="16"/>
              </w:rPr>
              <w:t xml:space="preserve">  Est. Mayor's Executive Order 2022-02</w:t>
            </w:r>
          </w:p>
        </w:tc>
      </w:tr>
      <w:tr w:rsidR="008B6C73" w14:paraId="174FD0EE" w14:textId="77777777">
        <w:tc>
          <w:tcPr>
            <w:tcW w:w="0" w:type="auto"/>
            <w:tcBorders>
              <w:top w:val="none" w:sz="0" w:space="0" w:color="FFFFFF"/>
              <w:left w:val="none" w:sz="0" w:space="0" w:color="FFFFFF"/>
              <w:bottom w:val="none" w:sz="0" w:space="0" w:color="FFFFFF"/>
              <w:right w:val="none" w:sz="0" w:space="0" w:color="FFFFFF"/>
            </w:tcBorders>
            <w:shd w:val="clear" w:color="auto" w:fill="163151"/>
            <w:tcMar>
              <w:top w:w="40" w:type="dxa"/>
              <w:left w:w="160" w:type="dxa"/>
              <w:bottom w:w="40" w:type="dxa"/>
              <w:right w:w="160" w:type="dxa"/>
            </w:tcMar>
          </w:tcPr>
          <w:p w14:paraId="075D09DB" w14:textId="77777777" w:rsidR="008B6C73" w:rsidRDefault="00000000">
            <w:r>
              <w:rPr>
                <w:rFonts w:ascii="Calibri" w:eastAsia="Calibri" w:hAnsi="Calibri" w:cs="Calibri"/>
                <w:b/>
                <w:bCs/>
                <w:color w:val="AACFE8"/>
                <w:sz w:val="15"/>
                <w:szCs w:val="15"/>
              </w:rPr>
              <w:t xml:space="preserve">30,000 Auto-Enrolled in Water </w:t>
            </w:r>
            <w:proofErr w:type="gramStart"/>
            <w:r>
              <w:rPr>
                <w:rFonts w:ascii="Calibri" w:eastAsia="Calibri" w:hAnsi="Calibri" w:cs="Calibri"/>
                <w:b/>
                <w:bCs/>
                <w:color w:val="AACFE8"/>
                <w:sz w:val="15"/>
                <w:szCs w:val="15"/>
              </w:rPr>
              <w:t>Discounts  ·</w:t>
            </w:r>
            <w:proofErr w:type="gramEnd"/>
            <w:r>
              <w:rPr>
                <w:rFonts w:ascii="Calibri" w:eastAsia="Calibri" w:hAnsi="Calibri" w:cs="Calibri"/>
                <w:b/>
                <w:bCs/>
                <w:color w:val="AACFE8"/>
                <w:sz w:val="15"/>
                <w:szCs w:val="15"/>
              </w:rPr>
              <w:t xml:space="preserve">  51,000 ACP </w:t>
            </w:r>
            <w:proofErr w:type="gramStart"/>
            <w:r>
              <w:rPr>
                <w:rFonts w:ascii="Calibri" w:eastAsia="Calibri" w:hAnsi="Calibri" w:cs="Calibri"/>
                <w:b/>
                <w:bCs/>
                <w:color w:val="AACFE8"/>
                <w:sz w:val="15"/>
                <w:szCs w:val="15"/>
              </w:rPr>
              <w:t>Enrollments  ·</w:t>
            </w:r>
            <w:proofErr w:type="gramEnd"/>
            <w:r>
              <w:rPr>
                <w:rFonts w:ascii="Calibri" w:eastAsia="Calibri" w:hAnsi="Calibri" w:cs="Calibri"/>
                <w:b/>
                <w:bCs/>
                <w:color w:val="AACFE8"/>
                <w:sz w:val="15"/>
                <w:szCs w:val="15"/>
              </w:rPr>
              <w:t xml:space="preserve">  15,000 Transit </w:t>
            </w:r>
            <w:proofErr w:type="gramStart"/>
            <w:r>
              <w:rPr>
                <w:rFonts w:ascii="Calibri" w:eastAsia="Calibri" w:hAnsi="Calibri" w:cs="Calibri"/>
                <w:b/>
                <w:bCs/>
                <w:color w:val="AACFE8"/>
                <w:sz w:val="15"/>
                <w:szCs w:val="15"/>
              </w:rPr>
              <w:t>Passes  ·</w:t>
            </w:r>
            <w:proofErr w:type="gramEnd"/>
            <w:r>
              <w:rPr>
                <w:rFonts w:ascii="Calibri" w:eastAsia="Calibri" w:hAnsi="Calibri" w:cs="Calibri"/>
                <w:b/>
                <w:bCs/>
                <w:color w:val="AACFE8"/>
                <w:sz w:val="15"/>
                <w:szCs w:val="15"/>
              </w:rPr>
              <w:t xml:space="preserve">  No State Legislation Required</w:t>
            </w:r>
          </w:p>
        </w:tc>
      </w:tr>
    </w:tbl>
    <w:p w14:paraId="416B0881" w14:textId="77777777" w:rsidR="008B6C73" w:rsidRDefault="008B6C73">
      <w:pPr>
        <w:spacing w:after="3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
        <w:gridCol w:w="9180"/>
      </w:tblGrid>
      <w:tr w:rsidR="008B6C73" w14:paraId="2833718A" w14:textId="77777777">
        <w:tc>
          <w:tcPr>
            <w:tcW w:w="180" w:type="dxa"/>
            <w:tcBorders>
              <w:top w:val="none" w:sz="0" w:space="0" w:color="FFFFFF"/>
              <w:left w:val="none" w:sz="0" w:space="0" w:color="FFFFFF"/>
              <w:bottom w:val="none" w:sz="0" w:space="0" w:color="FFFFFF"/>
              <w:right w:val="none" w:sz="0" w:space="0" w:color="FFFFFF"/>
            </w:tcBorders>
            <w:shd w:val="clear" w:color="auto" w:fill="2C5F8A"/>
            <w:tcMar>
              <w:top w:w="0" w:type="dxa"/>
              <w:left w:w="0" w:type="dxa"/>
              <w:bottom w:w="0" w:type="dxa"/>
              <w:right w:w="0" w:type="dxa"/>
            </w:tcMar>
          </w:tcPr>
          <w:p w14:paraId="423224DD" w14:textId="77777777" w:rsidR="008B6C73" w:rsidRDefault="008B6C73"/>
        </w:tc>
        <w:tc>
          <w:tcPr>
            <w:tcW w:w="9180" w:type="dxa"/>
            <w:tcBorders>
              <w:top w:val="none" w:sz="0" w:space="0" w:color="FFFFFF"/>
              <w:left w:val="none" w:sz="0" w:space="0" w:color="FFFFFF"/>
              <w:bottom w:val="none" w:sz="0" w:space="0" w:color="FFFFFF"/>
              <w:right w:val="none" w:sz="0" w:space="0" w:color="FFFFFF"/>
            </w:tcBorders>
            <w:shd w:val="clear" w:color="auto" w:fill="FFFFFF"/>
            <w:tcMar>
              <w:top w:w="28" w:type="dxa"/>
              <w:left w:w="110" w:type="dxa"/>
              <w:bottom w:w="28" w:type="dxa"/>
              <w:right w:w="0" w:type="dxa"/>
            </w:tcMar>
          </w:tcPr>
          <w:p w14:paraId="18BD109F" w14:textId="77777777" w:rsidR="008B6C73" w:rsidRDefault="00000000">
            <w:r>
              <w:rPr>
                <w:rFonts w:ascii="Calibri" w:eastAsia="Calibri" w:hAnsi="Calibri" w:cs="Calibri"/>
                <w:b/>
                <w:bCs/>
                <w:color w:val="2C5F8A"/>
                <w:sz w:val="16"/>
                <w:szCs w:val="16"/>
              </w:rPr>
              <w:t>WHAT IS IT?</w:t>
            </w:r>
          </w:p>
        </w:tc>
      </w:tr>
    </w:tbl>
    <w:p w14:paraId="58978370" w14:textId="77777777" w:rsidR="008B6C73" w:rsidRDefault="008B6C73">
      <w:pPr>
        <w:spacing w:after="25"/>
      </w:pPr>
    </w:p>
    <w:p w14:paraId="479A4464" w14:textId="77777777" w:rsidR="008B6C73" w:rsidRDefault="00000000">
      <w:r>
        <w:rPr>
          <w:rFonts w:ascii="Calibri" w:eastAsia="Calibri" w:hAnsi="Calibri" w:cs="Calibri"/>
          <w:color w:val="1A1A1A"/>
          <w:sz w:val="16"/>
          <w:szCs w:val="16"/>
        </w:rPr>
        <w:t>IDEA is Philadelphia's integrated data system that links administrative data across city agencies — water billing and arrears, tax records, social-services enrollment, broadband programs, and transit eligibility — to identify residents who qualify for benefits and either auto-enroll them or proactively reach out. Led by the Managing Director's Office, IDEA uses administrative data triggers such as arrears status, income reported to the Department of Revenue, enrollment in SNAP or Medicaid, or residence in a high-burden census tract to automatically identify households likely eligible for water discounts (typically ≤150% FPL), transit subsidies, or connectivity programs. IDEA was created by Mayor's Executive Order 2022-02 and formal data-sharing agreements (DSAs) between agencies. Funding comes from water utility revenues, city general funds, and philanthropic and technical support from Bloomberg and Harvard's Data-Smart initiative. No state legislation was required.</w:t>
      </w:r>
    </w:p>
    <w:p w14:paraId="043E8EF7" w14:textId="77777777" w:rsidR="008B6C73" w:rsidRDefault="008B6C73">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
        <w:gridCol w:w="9180"/>
      </w:tblGrid>
      <w:tr w:rsidR="008B6C73" w14:paraId="7FDC937D" w14:textId="77777777">
        <w:tc>
          <w:tcPr>
            <w:tcW w:w="180" w:type="dxa"/>
            <w:tcBorders>
              <w:top w:val="none" w:sz="0" w:space="0" w:color="FFFFFF"/>
              <w:left w:val="none" w:sz="0" w:space="0" w:color="FFFFFF"/>
              <w:bottom w:val="none" w:sz="0" w:space="0" w:color="FFFFFF"/>
              <w:right w:val="none" w:sz="0" w:space="0" w:color="FFFFFF"/>
            </w:tcBorders>
            <w:shd w:val="clear" w:color="auto" w:fill="2C5F8A"/>
            <w:tcMar>
              <w:top w:w="0" w:type="dxa"/>
              <w:left w:w="0" w:type="dxa"/>
              <w:bottom w:w="0" w:type="dxa"/>
              <w:right w:w="0" w:type="dxa"/>
            </w:tcMar>
          </w:tcPr>
          <w:p w14:paraId="6EFF5D03" w14:textId="77777777" w:rsidR="008B6C73" w:rsidRDefault="008B6C73"/>
        </w:tc>
        <w:tc>
          <w:tcPr>
            <w:tcW w:w="9180" w:type="dxa"/>
            <w:tcBorders>
              <w:top w:val="none" w:sz="0" w:space="0" w:color="FFFFFF"/>
              <w:left w:val="none" w:sz="0" w:space="0" w:color="FFFFFF"/>
              <w:bottom w:val="none" w:sz="0" w:space="0" w:color="FFFFFF"/>
              <w:right w:val="none" w:sz="0" w:space="0" w:color="FFFFFF"/>
            </w:tcBorders>
            <w:shd w:val="clear" w:color="auto" w:fill="FFFFFF"/>
            <w:tcMar>
              <w:top w:w="28" w:type="dxa"/>
              <w:left w:w="110" w:type="dxa"/>
              <w:bottom w:w="28" w:type="dxa"/>
              <w:right w:w="0" w:type="dxa"/>
            </w:tcMar>
          </w:tcPr>
          <w:p w14:paraId="55A040A3" w14:textId="77777777" w:rsidR="008B6C73" w:rsidRDefault="00000000">
            <w:r>
              <w:rPr>
                <w:rFonts w:ascii="Calibri" w:eastAsia="Calibri" w:hAnsi="Calibri" w:cs="Calibri"/>
                <w:b/>
                <w:bCs/>
                <w:color w:val="2C5F8A"/>
                <w:sz w:val="16"/>
                <w:szCs w:val="16"/>
              </w:rPr>
              <w:t>EVIDENCE HIGHLIGHTS</w:t>
            </w:r>
          </w:p>
        </w:tc>
      </w:tr>
    </w:tbl>
    <w:p w14:paraId="4C13204A" w14:textId="77777777" w:rsidR="008B6C73" w:rsidRDefault="008B6C73">
      <w:pPr>
        <w:spacing w:after="28"/>
      </w:pPr>
    </w:p>
    <w:tbl>
      <w:tblP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00"/>
        <w:gridCol w:w="8405"/>
      </w:tblGrid>
      <w:tr w:rsidR="008B6C73" w14:paraId="42C0DA62" w14:textId="77777777" w:rsidTr="003B232E">
        <w:tc>
          <w:tcPr>
            <w:tcW w:w="2300" w:type="dxa"/>
            <w:tcBorders>
              <w:top w:val="single" w:sz="4" w:space="0" w:color="C0D6EA"/>
              <w:left w:val="single" w:sz="4" w:space="0" w:color="C0D6EA"/>
              <w:bottom w:val="single" w:sz="4" w:space="0" w:color="C0D6EA"/>
              <w:right w:val="single" w:sz="4" w:space="0" w:color="C0D6EA"/>
            </w:tcBorders>
            <w:shd w:val="clear" w:color="auto" w:fill="DDEAF7"/>
            <w:tcMar>
              <w:top w:w="55" w:type="dxa"/>
              <w:left w:w="100" w:type="dxa"/>
              <w:bottom w:w="55" w:type="dxa"/>
              <w:right w:w="100" w:type="dxa"/>
            </w:tcMar>
          </w:tcPr>
          <w:p w14:paraId="14CA96B8" w14:textId="77777777" w:rsidR="008B6C73" w:rsidRDefault="00000000">
            <w:r>
              <w:rPr>
                <w:rFonts w:ascii="Calibri" w:eastAsia="Calibri" w:hAnsi="Calibri" w:cs="Calibri"/>
                <w:b/>
                <w:bCs/>
                <w:color w:val="1B3A5C"/>
                <w:sz w:val="16"/>
                <w:szCs w:val="16"/>
              </w:rPr>
              <w:t>Water Discounts</w:t>
            </w:r>
          </w:p>
        </w:tc>
        <w:tc>
          <w:tcPr>
            <w:tcW w:w="8405" w:type="dxa"/>
            <w:tcBorders>
              <w:top w:val="single" w:sz="4" w:space="0" w:color="C0D6EA"/>
              <w:left w:val="single" w:sz="4" w:space="0" w:color="C0D6EA"/>
              <w:bottom w:val="single" w:sz="4" w:space="0" w:color="C0D6EA"/>
              <w:right w:val="single" w:sz="4" w:space="0" w:color="C0D6EA"/>
            </w:tcBorders>
            <w:shd w:val="clear" w:color="auto" w:fill="FFFFFF"/>
            <w:tcMar>
              <w:top w:w="55" w:type="dxa"/>
              <w:left w:w="110" w:type="dxa"/>
              <w:bottom w:w="55" w:type="dxa"/>
              <w:right w:w="100" w:type="dxa"/>
            </w:tcMar>
          </w:tcPr>
          <w:p w14:paraId="3B04D089" w14:textId="77777777" w:rsidR="008B6C73" w:rsidRDefault="00000000">
            <w:r>
              <w:rPr>
                <w:rFonts w:ascii="Calibri" w:eastAsia="Calibri" w:hAnsi="Calibri" w:cs="Calibri"/>
                <w:color w:val="1A1A1A"/>
                <w:sz w:val="16"/>
                <w:szCs w:val="16"/>
              </w:rPr>
              <w:t>30,000 households automatically enrolled in water discount programs through IDEA's administrative data triggers</w:t>
            </w:r>
          </w:p>
        </w:tc>
      </w:tr>
      <w:tr w:rsidR="008B6C73" w14:paraId="55DEB4DD" w14:textId="77777777" w:rsidTr="003B232E">
        <w:tc>
          <w:tcPr>
            <w:tcW w:w="2300" w:type="dxa"/>
            <w:tcBorders>
              <w:top w:val="single" w:sz="4" w:space="0" w:color="C0D6EA"/>
              <w:left w:val="single" w:sz="4" w:space="0" w:color="C0D6EA"/>
              <w:bottom w:val="single" w:sz="4" w:space="0" w:color="C0D6EA"/>
              <w:right w:val="single" w:sz="4" w:space="0" w:color="C0D6EA"/>
            </w:tcBorders>
            <w:shd w:val="clear" w:color="auto" w:fill="C9DCEF"/>
            <w:tcMar>
              <w:top w:w="55" w:type="dxa"/>
              <w:left w:w="100" w:type="dxa"/>
              <w:bottom w:w="55" w:type="dxa"/>
              <w:right w:w="100" w:type="dxa"/>
            </w:tcMar>
          </w:tcPr>
          <w:p w14:paraId="7B86A76E" w14:textId="77777777" w:rsidR="008B6C73" w:rsidRDefault="00000000">
            <w:r>
              <w:rPr>
                <w:rFonts w:ascii="Calibri" w:eastAsia="Calibri" w:hAnsi="Calibri" w:cs="Calibri"/>
                <w:b/>
                <w:bCs/>
                <w:color w:val="1B3A5C"/>
                <w:sz w:val="16"/>
                <w:szCs w:val="16"/>
              </w:rPr>
              <w:t>Transit Passes</w:t>
            </w:r>
          </w:p>
        </w:tc>
        <w:tc>
          <w:tcPr>
            <w:tcW w:w="8405" w:type="dxa"/>
            <w:tcBorders>
              <w:top w:val="single" w:sz="4" w:space="0" w:color="C0D6EA"/>
              <w:left w:val="single" w:sz="4" w:space="0" w:color="C0D6EA"/>
              <w:bottom w:val="single" w:sz="4" w:space="0" w:color="C0D6EA"/>
              <w:right w:val="single" w:sz="4" w:space="0" w:color="C0D6EA"/>
            </w:tcBorders>
            <w:shd w:val="clear" w:color="auto" w:fill="F5F8FC"/>
            <w:tcMar>
              <w:top w:w="55" w:type="dxa"/>
              <w:left w:w="110" w:type="dxa"/>
              <w:bottom w:w="55" w:type="dxa"/>
              <w:right w:w="100" w:type="dxa"/>
            </w:tcMar>
          </w:tcPr>
          <w:p w14:paraId="77D23240" w14:textId="77777777" w:rsidR="008B6C73" w:rsidRDefault="00000000">
            <w:r>
              <w:rPr>
                <w:rFonts w:ascii="Calibri" w:eastAsia="Calibri" w:hAnsi="Calibri" w:cs="Calibri"/>
                <w:color w:val="1A1A1A"/>
                <w:sz w:val="16"/>
                <w:szCs w:val="16"/>
              </w:rPr>
              <w:t>15,000 free transit passes mailed to eligible households identified through integrated data matching</w:t>
            </w:r>
          </w:p>
        </w:tc>
      </w:tr>
      <w:tr w:rsidR="008B6C73" w14:paraId="31776AB1" w14:textId="77777777" w:rsidTr="003B232E">
        <w:tc>
          <w:tcPr>
            <w:tcW w:w="2300" w:type="dxa"/>
            <w:tcBorders>
              <w:top w:val="single" w:sz="4" w:space="0" w:color="C0D6EA"/>
              <w:left w:val="single" w:sz="4" w:space="0" w:color="C0D6EA"/>
              <w:bottom w:val="single" w:sz="4" w:space="0" w:color="C0D6EA"/>
              <w:right w:val="single" w:sz="4" w:space="0" w:color="C0D6EA"/>
            </w:tcBorders>
            <w:shd w:val="clear" w:color="auto" w:fill="DDEAF7"/>
            <w:tcMar>
              <w:top w:w="55" w:type="dxa"/>
              <w:left w:w="100" w:type="dxa"/>
              <w:bottom w:w="55" w:type="dxa"/>
              <w:right w:w="100" w:type="dxa"/>
            </w:tcMar>
          </w:tcPr>
          <w:p w14:paraId="5BCD669D" w14:textId="77777777" w:rsidR="008B6C73" w:rsidRDefault="00000000">
            <w:r>
              <w:rPr>
                <w:rFonts w:ascii="Calibri" w:eastAsia="Calibri" w:hAnsi="Calibri" w:cs="Calibri"/>
                <w:b/>
                <w:bCs/>
                <w:color w:val="1B3A5C"/>
                <w:sz w:val="16"/>
                <w:szCs w:val="16"/>
              </w:rPr>
              <w:t>ACP Outreach</w:t>
            </w:r>
          </w:p>
        </w:tc>
        <w:tc>
          <w:tcPr>
            <w:tcW w:w="8405" w:type="dxa"/>
            <w:tcBorders>
              <w:top w:val="single" w:sz="4" w:space="0" w:color="C0D6EA"/>
              <w:left w:val="single" w:sz="4" w:space="0" w:color="C0D6EA"/>
              <w:bottom w:val="single" w:sz="4" w:space="0" w:color="C0D6EA"/>
              <w:right w:val="single" w:sz="4" w:space="0" w:color="C0D6EA"/>
            </w:tcBorders>
            <w:shd w:val="clear" w:color="auto" w:fill="FFFFFF"/>
            <w:tcMar>
              <w:top w:w="55" w:type="dxa"/>
              <w:left w:w="110" w:type="dxa"/>
              <w:bottom w:w="55" w:type="dxa"/>
              <w:right w:w="100" w:type="dxa"/>
            </w:tcMar>
          </w:tcPr>
          <w:p w14:paraId="71E67730" w14:textId="77777777" w:rsidR="008B6C73" w:rsidRDefault="00000000">
            <w:r>
              <w:rPr>
                <w:rFonts w:ascii="Calibri" w:eastAsia="Calibri" w:hAnsi="Calibri" w:cs="Calibri"/>
                <w:color w:val="1A1A1A"/>
                <w:sz w:val="16"/>
                <w:szCs w:val="16"/>
              </w:rPr>
              <w:t>67,000 ACP text alerts sent to households identified as likely eligible for broadband connectivity assistance</w:t>
            </w:r>
          </w:p>
        </w:tc>
      </w:tr>
      <w:tr w:rsidR="008B6C73" w14:paraId="6E14BF6B" w14:textId="77777777" w:rsidTr="003B232E">
        <w:tc>
          <w:tcPr>
            <w:tcW w:w="2300" w:type="dxa"/>
            <w:tcBorders>
              <w:top w:val="single" w:sz="4" w:space="0" w:color="C0D6EA"/>
              <w:left w:val="single" w:sz="4" w:space="0" w:color="C0D6EA"/>
              <w:bottom w:val="single" w:sz="4" w:space="0" w:color="C0D6EA"/>
              <w:right w:val="single" w:sz="4" w:space="0" w:color="C0D6EA"/>
            </w:tcBorders>
            <w:shd w:val="clear" w:color="auto" w:fill="C9DCEF"/>
            <w:tcMar>
              <w:top w:w="55" w:type="dxa"/>
              <w:left w:w="100" w:type="dxa"/>
              <w:bottom w:w="55" w:type="dxa"/>
              <w:right w:w="100" w:type="dxa"/>
            </w:tcMar>
          </w:tcPr>
          <w:p w14:paraId="4D44E4B0" w14:textId="77777777" w:rsidR="008B6C73" w:rsidRDefault="00000000">
            <w:r>
              <w:rPr>
                <w:rFonts w:ascii="Calibri" w:eastAsia="Calibri" w:hAnsi="Calibri" w:cs="Calibri"/>
                <w:b/>
                <w:bCs/>
                <w:color w:val="1B3A5C"/>
                <w:sz w:val="16"/>
                <w:szCs w:val="16"/>
              </w:rPr>
              <w:t>ACP Enrollments</w:t>
            </w:r>
          </w:p>
        </w:tc>
        <w:tc>
          <w:tcPr>
            <w:tcW w:w="8405" w:type="dxa"/>
            <w:tcBorders>
              <w:top w:val="single" w:sz="4" w:space="0" w:color="C0D6EA"/>
              <w:left w:val="single" w:sz="4" w:space="0" w:color="C0D6EA"/>
              <w:bottom w:val="single" w:sz="4" w:space="0" w:color="C0D6EA"/>
              <w:right w:val="single" w:sz="4" w:space="0" w:color="C0D6EA"/>
            </w:tcBorders>
            <w:shd w:val="clear" w:color="auto" w:fill="F5F8FC"/>
            <w:tcMar>
              <w:top w:w="55" w:type="dxa"/>
              <w:left w:w="110" w:type="dxa"/>
              <w:bottom w:w="55" w:type="dxa"/>
              <w:right w:w="100" w:type="dxa"/>
            </w:tcMar>
          </w:tcPr>
          <w:p w14:paraId="67060C5A" w14:textId="77777777" w:rsidR="008B6C73" w:rsidRDefault="00000000">
            <w:r>
              <w:rPr>
                <w:rFonts w:ascii="Calibri" w:eastAsia="Calibri" w:hAnsi="Calibri" w:cs="Calibri"/>
                <w:color w:val="1A1A1A"/>
                <w:sz w:val="16"/>
                <w:szCs w:val="16"/>
              </w:rPr>
              <w:t>51,000 additional ACP enrollments generated between 2022 and 2023 through proactive outreach and auto-enrollment</w:t>
            </w:r>
          </w:p>
        </w:tc>
      </w:tr>
      <w:tr w:rsidR="008B6C73" w14:paraId="724662E4" w14:textId="77777777" w:rsidTr="003B232E">
        <w:tc>
          <w:tcPr>
            <w:tcW w:w="2300" w:type="dxa"/>
            <w:tcBorders>
              <w:top w:val="single" w:sz="4" w:space="0" w:color="C0D6EA"/>
              <w:left w:val="single" w:sz="4" w:space="0" w:color="C0D6EA"/>
              <w:bottom w:val="single" w:sz="4" w:space="0" w:color="C0D6EA"/>
              <w:right w:val="single" w:sz="4" w:space="0" w:color="C0D6EA"/>
            </w:tcBorders>
            <w:shd w:val="clear" w:color="auto" w:fill="DDEAF7"/>
            <w:tcMar>
              <w:top w:w="55" w:type="dxa"/>
              <w:left w:w="100" w:type="dxa"/>
              <w:bottom w:w="55" w:type="dxa"/>
              <w:right w:w="100" w:type="dxa"/>
            </w:tcMar>
          </w:tcPr>
          <w:p w14:paraId="2D006D33" w14:textId="77777777" w:rsidR="008B6C73" w:rsidRDefault="00000000">
            <w:r>
              <w:rPr>
                <w:rFonts w:ascii="Calibri" w:eastAsia="Calibri" w:hAnsi="Calibri" w:cs="Calibri"/>
                <w:b/>
                <w:bCs/>
                <w:color w:val="1B3A5C"/>
                <w:sz w:val="16"/>
                <w:szCs w:val="16"/>
              </w:rPr>
              <w:t>Eligibility Triggers</w:t>
            </w:r>
          </w:p>
        </w:tc>
        <w:tc>
          <w:tcPr>
            <w:tcW w:w="8405" w:type="dxa"/>
            <w:tcBorders>
              <w:top w:val="single" w:sz="4" w:space="0" w:color="C0D6EA"/>
              <w:left w:val="single" w:sz="4" w:space="0" w:color="C0D6EA"/>
              <w:bottom w:val="single" w:sz="4" w:space="0" w:color="C0D6EA"/>
              <w:right w:val="single" w:sz="4" w:space="0" w:color="C0D6EA"/>
            </w:tcBorders>
            <w:shd w:val="clear" w:color="auto" w:fill="FFFFFF"/>
            <w:tcMar>
              <w:top w:w="55" w:type="dxa"/>
              <w:left w:w="110" w:type="dxa"/>
              <w:bottom w:w="55" w:type="dxa"/>
              <w:right w:w="100" w:type="dxa"/>
            </w:tcMar>
          </w:tcPr>
          <w:p w14:paraId="046A04CA" w14:textId="77777777" w:rsidR="008B6C73" w:rsidRDefault="00000000">
            <w:r>
              <w:rPr>
                <w:rFonts w:ascii="Calibri" w:eastAsia="Calibri" w:hAnsi="Calibri" w:cs="Calibri"/>
                <w:color w:val="1A1A1A"/>
                <w:sz w:val="16"/>
                <w:szCs w:val="16"/>
              </w:rPr>
              <w:t>Households qualify via income threshold (≤150% FPL), SNAP/Medicaid enrollment, arrears status, or residence in a high-burden census tract</w:t>
            </w:r>
          </w:p>
        </w:tc>
      </w:tr>
      <w:tr w:rsidR="008B6C73" w14:paraId="694A70CC" w14:textId="77777777" w:rsidTr="003B232E">
        <w:tc>
          <w:tcPr>
            <w:tcW w:w="2300" w:type="dxa"/>
            <w:tcBorders>
              <w:top w:val="single" w:sz="4" w:space="0" w:color="C0D6EA"/>
              <w:left w:val="single" w:sz="4" w:space="0" w:color="C0D6EA"/>
              <w:bottom w:val="single" w:sz="4" w:space="0" w:color="C0D6EA"/>
              <w:right w:val="single" w:sz="4" w:space="0" w:color="C0D6EA"/>
            </w:tcBorders>
            <w:shd w:val="clear" w:color="auto" w:fill="C9DCEF"/>
            <w:tcMar>
              <w:top w:w="55" w:type="dxa"/>
              <w:left w:w="100" w:type="dxa"/>
              <w:bottom w:w="55" w:type="dxa"/>
              <w:right w:w="100" w:type="dxa"/>
            </w:tcMar>
          </w:tcPr>
          <w:p w14:paraId="114CB6CC" w14:textId="77777777" w:rsidR="008B6C73" w:rsidRDefault="00000000">
            <w:r>
              <w:rPr>
                <w:rFonts w:ascii="Calibri" w:eastAsia="Calibri" w:hAnsi="Calibri" w:cs="Calibri"/>
                <w:b/>
                <w:bCs/>
                <w:color w:val="1B3A5C"/>
                <w:sz w:val="16"/>
                <w:szCs w:val="16"/>
              </w:rPr>
              <w:t>Funding</w:t>
            </w:r>
          </w:p>
        </w:tc>
        <w:tc>
          <w:tcPr>
            <w:tcW w:w="8405" w:type="dxa"/>
            <w:tcBorders>
              <w:top w:val="single" w:sz="4" w:space="0" w:color="C0D6EA"/>
              <w:left w:val="single" w:sz="4" w:space="0" w:color="C0D6EA"/>
              <w:bottom w:val="single" w:sz="4" w:space="0" w:color="C0D6EA"/>
              <w:right w:val="single" w:sz="4" w:space="0" w:color="C0D6EA"/>
            </w:tcBorders>
            <w:shd w:val="clear" w:color="auto" w:fill="F5F8FC"/>
            <w:tcMar>
              <w:top w:w="55" w:type="dxa"/>
              <w:left w:w="110" w:type="dxa"/>
              <w:bottom w:w="55" w:type="dxa"/>
              <w:right w:w="100" w:type="dxa"/>
            </w:tcMar>
          </w:tcPr>
          <w:p w14:paraId="470D6E3A" w14:textId="77777777" w:rsidR="008B6C73" w:rsidRDefault="00000000">
            <w:r>
              <w:rPr>
                <w:rFonts w:ascii="Calibri" w:eastAsia="Calibri" w:hAnsi="Calibri" w:cs="Calibri"/>
                <w:color w:val="1A1A1A"/>
                <w:sz w:val="16"/>
                <w:szCs w:val="16"/>
              </w:rPr>
              <w:t>Water utility revenues, city general funds, and philanthropic support (Bloomberg Philanthropies, Harvard Data-Smart)</w:t>
            </w:r>
          </w:p>
        </w:tc>
      </w:tr>
      <w:tr w:rsidR="008B6C73" w14:paraId="004B6C8F" w14:textId="77777777" w:rsidTr="003B232E">
        <w:tc>
          <w:tcPr>
            <w:tcW w:w="2300" w:type="dxa"/>
            <w:tcBorders>
              <w:top w:val="single" w:sz="4" w:space="0" w:color="C0D6EA"/>
              <w:left w:val="single" w:sz="4" w:space="0" w:color="C0D6EA"/>
              <w:bottom w:val="single" w:sz="4" w:space="0" w:color="C0D6EA"/>
              <w:right w:val="single" w:sz="4" w:space="0" w:color="C0D6EA"/>
            </w:tcBorders>
            <w:shd w:val="clear" w:color="auto" w:fill="DDEAF7"/>
            <w:tcMar>
              <w:top w:w="55" w:type="dxa"/>
              <w:left w:w="100" w:type="dxa"/>
              <w:bottom w:w="55" w:type="dxa"/>
              <w:right w:w="100" w:type="dxa"/>
            </w:tcMar>
          </w:tcPr>
          <w:p w14:paraId="67D6381F" w14:textId="77777777" w:rsidR="008B6C73" w:rsidRDefault="00000000">
            <w:r>
              <w:rPr>
                <w:rFonts w:ascii="Calibri" w:eastAsia="Calibri" w:hAnsi="Calibri" w:cs="Calibri"/>
                <w:b/>
                <w:bCs/>
                <w:color w:val="1B3A5C"/>
                <w:sz w:val="16"/>
                <w:szCs w:val="16"/>
              </w:rPr>
              <w:t>Enabling Authority</w:t>
            </w:r>
          </w:p>
        </w:tc>
        <w:tc>
          <w:tcPr>
            <w:tcW w:w="8405" w:type="dxa"/>
            <w:tcBorders>
              <w:top w:val="single" w:sz="4" w:space="0" w:color="C0D6EA"/>
              <w:left w:val="single" w:sz="4" w:space="0" w:color="C0D6EA"/>
              <w:bottom w:val="single" w:sz="4" w:space="0" w:color="C0D6EA"/>
              <w:right w:val="single" w:sz="4" w:space="0" w:color="C0D6EA"/>
            </w:tcBorders>
            <w:shd w:val="clear" w:color="auto" w:fill="FFFFFF"/>
            <w:tcMar>
              <w:top w:w="55" w:type="dxa"/>
              <w:left w:w="110" w:type="dxa"/>
              <w:bottom w:w="55" w:type="dxa"/>
              <w:right w:w="100" w:type="dxa"/>
            </w:tcMar>
          </w:tcPr>
          <w:p w14:paraId="2033DA53" w14:textId="77777777" w:rsidR="008B6C73" w:rsidRDefault="00000000">
            <w:r>
              <w:rPr>
                <w:rFonts w:ascii="Calibri" w:eastAsia="Calibri" w:hAnsi="Calibri" w:cs="Calibri"/>
                <w:color w:val="1A1A1A"/>
                <w:sz w:val="16"/>
                <w:szCs w:val="16"/>
              </w:rPr>
              <w:t>Mayor's Executive Order 2022-02 and interagency data-sharing agreements (DSAs) — no state legislation required</w:t>
            </w:r>
          </w:p>
        </w:tc>
      </w:tr>
      <w:tr w:rsidR="008B6C73" w14:paraId="43769C2D" w14:textId="77777777" w:rsidTr="003B232E">
        <w:tc>
          <w:tcPr>
            <w:tcW w:w="2300" w:type="dxa"/>
            <w:tcBorders>
              <w:top w:val="single" w:sz="4" w:space="0" w:color="C0D6EA"/>
              <w:left w:val="single" w:sz="4" w:space="0" w:color="C0D6EA"/>
              <w:bottom w:val="single" w:sz="4" w:space="0" w:color="C0D6EA"/>
              <w:right w:val="single" w:sz="4" w:space="0" w:color="C0D6EA"/>
            </w:tcBorders>
            <w:shd w:val="clear" w:color="auto" w:fill="C9DCEF"/>
            <w:tcMar>
              <w:top w:w="55" w:type="dxa"/>
              <w:left w:w="100" w:type="dxa"/>
              <w:bottom w:w="55" w:type="dxa"/>
              <w:right w:w="100" w:type="dxa"/>
            </w:tcMar>
          </w:tcPr>
          <w:p w14:paraId="68906B96" w14:textId="77777777" w:rsidR="008B6C73" w:rsidRDefault="00000000">
            <w:r>
              <w:rPr>
                <w:rFonts w:ascii="Calibri" w:eastAsia="Calibri" w:hAnsi="Calibri" w:cs="Calibri"/>
                <w:b/>
                <w:bCs/>
                <w:color w:val="1B3A5C"/>
                <w:sz w:val="16"/>
                <w:szCs w:val="16"/>
              </w:rPr>
              <w:t>Key Partners</w:t>
            </w:r>
          </w:p>
        </w:tc>
        <w:tc>
          <w:tcPr>
            <w:tcW w:w="8405" w:type="dxa"/>
            <w:tcBorders>
              <w:top w:val="single" w:sz="4" w:space="0" w:color="C0D6EA"/>
              <w:left w:val="single" w:sz="4" w:space="0" w:color="C0D6EA"/>
              <w:bottom w:val="single" w:sz="4" w:space="0" w:color="C0D6EA"/>
              <w:right w:val="single" w:sz="4" w:space="0" w:color="C0D6EA"/>
            </w:tcBorders>
            <w:shd w:val="clear" w:color="auto" w:fill="F5F8FC"/>
            <w:tcMar>
              <w:top w:w="55" w:type="dxa"/>
              <w:left w:w="110" w:type="dxa"/>
              <w:bottom w:w="55" w:type="dxa"/>
              <w:right w:w="100" w:type="dxa"/>
            </w:tcMar>
          </w:tcPr>
          <w:p w14:paraId="077C37D5" w14:textId="77777777" w:rsidR="008B6C73" w:rsidRDefault="00000000">
            <w:r>
              <w:rPr>
                <w:rFonts w:ascii="Calibri" w:eastAsia="Calibri" w:hAnsi="Calibri" w:cs="Calibri"/>
                <w:color w:val="1A1A1A"/>
                <w:sz w:val="16"/>
                <w:szCs w:val="16"/>
              </w:rPr>
              <w:t>Managing Director's Office, Water Revenue Bureau, Department of Revenue, human services agencies, Bloomberg/Harvard Data-Smart</w:t>
            </w:r>
          </w:p>
        </w:tc>
      </w:tr>
    </w:tbl>
    <w:p w14:paraId="38525439" w14:textId="77777777" w:rsidR="008B6C73" w:rsidRDefault="008B6C73">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
        <w:gridCol w:w="9180"/>
      </w:tblGrid>
      <w:tr w:rsidR="008B6C73" w14:paraId="6A691BED" w14:textId="77777777">
        <w:tc>
          <w:tcPr>
            <w:tcW w:w="180" w:type="dxa"/>
            <w:tcBorders>
              <w:top w:val="none" w:sz="0" w:space="0" w:color="FFFFFF"/>
              <w:left w:val="none" w:sz="0" w:space="0" w:color="FFFFFF"/>
              <w:bottom w:val="none" w:sz="0" w:space="0" w:color="FFFFFF"/>
              <w:right w:val="none" w:sz="0" w:space="0" w:color="FFFFFF"/>
            </w:tcBorders>
            <w:shd w:val="clear" w:color="auto" w:fill="2C5F8A"/>
            <w:tcMar>
              <w:top w:w="0" w:type="dxa"/>
              <w:left w:w="0" w:type="dxa"/>
              <w:bottom w:w="0" w:type="dxa"/>
              <w:right w:w="0" w:type="dxa"/>
            </w:tcMar>
          </w:tcPr>
          <w:p w14:paraId="4975DB6F" w14:textId="77777777" w:rsidR="008B6C73" w:rsidRDefault="008B6C73"/>
        </w:tc>
        <w:tc>
          <w:tcPr>
            <w:tcW w:w="9180" w:type="dxa"/>
            <w:tcBorders>
              <w:top w:val="none" w:sz="0" w:space="0" w:color="FFFFFF"/>
              <w:left w:val="none" w:sz="0" w:space="0" w:color="FFFFFF"/>
              <w:bottom w:val="none" w:sz="0" w:space="0" w:color="FFFFFF"/>
              <w:right w:val="none" w:sz="0" w:space="0" w:color="FFFFFF"/>
            </w:tcBorders>
            <w:shd w:val="clear" w:color="auto" w:fill="FFFFFF"/>
            <w:tcMar>
              <w:top w:w="28" w:type="dxa"/>
              <w:left w:w="110" w:type="dxa"/>
              <w:bottom w:w="28" w:type="dxa"/>
              <w:right w:w="0" w:type="dxa"/>
            </w:tcMar>
          </w:tcPr>
          <w:p w14:paraId="49700B2A" w14:textId="77777777" w:rsidR="008B6C73" w:rsidRDefault="00000000">
            <w:r>
              <w:rPr>
                <w:rFonts w:ascii="Calibri" w:eastAsia="Calibri" w:hAnsi="Calibri" w:cs="Calibri"/>
                <w:b/>
                <w:bCs/>
                <w:color w:val="2C5F8A"/>
                <w:sz w:val="16"/>
                <w:szCs w:val="16"/>
              </w:rPr>
              <w:t>HOW IT WORKS</w:t>
            </w:r>
          </w:p>
        </w:tc>
      </w:tr>
    </w:tbl>
    <w:p w14:paraId="5D6152D9" w14:textId="77777777" w:rsidR="008B6C73" w:rsidRDefault="008B6C73">
      <w:pPr>
        <w:spacing w:after="28"/>
      </w:pP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945"/>
        <w:gridCol w:w="5850"/>
      </w:tblGrid>
      <w:tr w:rsidR="008B6C73" w14:paraId="30D977BE" w14:textId="77777777" w:rsidTr="003E3CE7">
        <w:trPr>
          <w:trHeight w:val="861"/>
        </w:trPr>
        <w:tc>
          <w:tcPr>
            <w:tcW w:w="4945" w:type="dxa"/>
            <w:tcBorders>
              <w:top w:val="single" w:sz="4" w:space="0" w:color="C0D6EA"/>
              <w:left w:val="single" w:sz="4" w:space="0" w:color="C0D6EA"/>
              <w:bottom w:val="single" w:sz="4" w:space="0" w:color="C0D6EA"/>
              <w:right w:val="single" w:sz="4" w:space="0" w:color="C0D6EA"/>
            </w:tcBorders>
            <w:shd w:val="clear" w:color="auto" w:fill="EDF4FC"/>
            <w:tcMar>
              <w:top w:w="60" w:type="dxa"/>
              <w:left w:w="110" w:type="dxa"/>
              <w:bottom w:w="65" w:type="dxa"/>
              <w:right w:w="110" w:type="dxa"/>
            </w:tcMar>
          </w:tcPr>
          <w:p w14:paraId="79B4436B" w14:textId="77777777" w:rsidR="008B6C73" w:rsidRDefault="00000000">
            <w:pPr>
              <w:spacing w:after="30"/>
            </w:pPr>
            <w:r>
              <w:rPr>
                <w:rFonts w:ascii="Calibri" w:eastAsia="Calibri" w:hAnsi="Calibri" w:cs="Calibri"/>
                <w:b/>
                <w:bCs/>
                <w:color w:val="2C5F8A"/>
                <w:sz w:val="16"/>
                <w:szCs w:val="16"/>
              </w:rPr>
              <w:t>① Administrative Data Linking</w:t>
            </w:r>
          </w:p>
          <w:p w14:paraId="138B51FD" w14:textId="77777777" w:rsidR="008B6C73" w:rsidRDefault="00000000">
            <w:r>
              <w:rPr>
                <w:rFonts w:ascii="Calibri" w:eastAsia="Calibri" w:hAnsi="Calibri" w:cs="Calibri"/>
                <w:color w:val="1A1A1A"/>
                <w:sz w:val="16"/>
                <w:szCs w:val="16"/>
              </w:rPr>
              <w:t>IDEA links records across city agencies into a unified view of household eligibility. Cross-agency data matching identifies households that qualify for benefits they have not yet claimed — without requiring residents to apply.</w:t>
            </w:r>
          </w:p>
        </w:tc>
        <w:tc>
          <w:tcPr>
            <w:tcW w:w="5850" w:type="dxa"/>
            <w:tcBorders>
              <w:top w:val="single" w:sz="4" w:space="0" w:color="C0D6EA"/>
              <w:left w:val="single" w:sz="4" w:space="0" w:color="C0D6EA"/>
              <w:bottom w:val="single" w:sz="4" w:space="0" w:color="C0D6EA"/>
              <w:right w:val="single" w:sz="4" w:space="0" w:color="C0D6EA"/>
            </w:tcBorders>
            <w:shd w:val="clear" w:color="auto" w:fill="F5F8FC"/>
            <w:tcMar>
              <w:top w:w="60" w:type="dxa"/>
              <w:left w:w="110" w:type="dxa"/>
              <w:bottom w:w="65" w:type="dxa"/>
              <w:right w:w="110" w:type="dxa"/>
            </w:tcMar>
          </w:tcPr>
          <w:p w14:paraId="62D522F6" w14:textId="77777777" w:rsidR="008B6C73" w:rsidRDefault="00000000">
            <w:pPr>
              <w:spacing w:after="30"/>
            </w:pPr>
            <w:r>
              <w:rPr>
                <w:rFonts w:ascii="Calibri" w:eastAsia="Calibri" w:hAnsi="Calibri" w:cs="Calibri"/>
                <w:b/>
                <w:bCs/>
                <w:color w:val="2C5F8A"/>
                <w:sz w:val="16"/>
                <w:szCs w:val="16"/>
              </w:rPr>
              <w:t>② Automated Eligibility Triggers</w:t>
            </w:r>
          </w:p>
          <w:p w14:paraId="25AB1F38" w14:textId="77777777" w:rsidR="008B6C73" w:rsidRDefault="00000000">
            <w:r>
              <w:rPr>
                <w:rFonts w:ascii="Calibri" w:eastAsia="Calibri" w:hAnsi="Calibri" w:cs="Calibri"/>
                <w:color w:val="1A1A1A"/>
                <w:sz w:val="16"/>
                <w:szCs w:val="16"/>
              </w:rPr>
              <w:t>When a household meets a data trigger — income below 150% FPL, SNAP/Medicaid enrollment, active water arrears, or residence in a high-burden census tract — IDEA flags them for enrollment or outreach.</w:t>
            </w:r>
          </w:p>
        </w:tc>
      </w:tr>
      <w:tr w:rsidR="008B6C73" w14:paraId="6C34234D" w14:textId="77777777" w:rsidTr="003E3CE7">
        <w:trPr>
          <w:trHeight w:val="717"/>
        </w:trPr>
        <w:tc>
          <w:tcPr>
            <w:tcW w:w="4945" w:type="dxa"/>
            <w:tcBorders>
              <w:top w:val="single" w:sz="4" w:space="0" w:color="C0D6EA"/>
              <w:left w:val="single" w:sz="4" w:space="0" w:color="C0D6EA"/>
              <w:bottom w:val="single" w:sz="4" w:space="0" w:color="C0D6EA"/>
              <w:right w:val="single" w:sz="4" w:space="0" w:color="C0D6EA"/>
            </w:tcBorders>
            <w:shd w:val="clear" w:color="auto" w:fill="F5F8FC"/>
            <w:tcMar>
              <w:top w:w="60" w:type="dxa"/>
              <w:left w:w="110" w:type="dxa"/>
              <w:bottom w:w="65" w:type="dxa"/>
              <w:right w:w="110" w:type="dxa"/>
            </w:tcMar>
          </w:tcPr>
          <w:p w14:paraId="21D38A0B" w14:textId="77777777" w:rsidR="008B6C73" w:rsidRDefault="00000000">
            <w:pPr>
              <w:spacing w:after="30"/>
            </w:pPr>
            <w:r>
              <w:rPr>
                <w:rFonts w:ascii="Calibri" w:eastAsia="Calibri" w:hAnsi="Calibri" w:cs="Calibri"/>
                <w:b/>
                <w:bCs/>
                <w:color w:val="2C5F8A"/>
                <w:sz w:val="16"/>
                <w:szCs w:val="16"/>
              </w:rPr>
              <w:t>③ Auto-Enrollment &amp; Proactive Outreach</w:t>
            </w:r>
          </w:p>
          <w:p w14:paraId="4B638F8D" w14:textId="77777777" w:rsidR="008B6C73" w:rsidRDefault="00000000">
            <w:r>
              <w:rPr>
                <w:rFonts w:ascii="Calibri" w:eastAsia="Calibri" w:hAnsi="Calibri" w:cs="Calibri"/>
                <w:color w:val="1A1A1A"/>
                <w:sz w:val="16"/>
                <w:szCs w:val="16"/>
              </w:rPr>
              <w:t>Depending on the program, IDEA either auto-enrolls eligible households directly or generates targeted outreach — mailed transit passes, text alerts — that dramatically increases take-up rates.</w:t>
            </w:r>
          </w:p>
        </w:tc>
        <w:tc>
          <w:tcPr>
            <w:tcW w:w="5850" w:type="dxa"/>
            <w:tcBorders>
              <w:top w:val="single" w:sz="4" w:space="0" w:color="C0D6EA"/>
              <w:left w:val="single" w:sz="4" w:space="0" w:color="C0D6EA"/>
              <w:bottom w:val="single" w:sz="4" w:space="0" w:color="C0D6EA"/>
              <w:right w:val="single" w:sz="4" w:space="0" w:color="C0D6EA"/>
            </w:tcBorders>
            <w:shd w:val="clear" w:color="auto" w:fill="EDF4FC"/>
            <w:tcMar>
              <w:top w:w="60" w:type="dxa"/>
              <w:left w:w="110" w:type="dxa"/>
              <w:bottom w:w="65" w:type="dxa"/>
              <w:right w:w="110" w:type="dxa"/>
            </w:tcMar>
          </w:tcPr>
          <w:p w14:paraId="4586FFF8" w14:textId="77777777" w:rsidR="008B6C73" w:rsidRDefault="00000000">
            <w:pPr>
              <w:spacing w:after="30"/>
            </w:pPr>
            <w:r>
              <w:rPr>
                <w:rFonts w:ascii="Calibri" w:eastAsia="Calibri" w:hAnsi="Calibri" w:cs="Calibri"/>
                <w:b/>
                <w:bCs/>
                <w:color w:val="2C5F8A"/>
                <w:sz w:val="16"/>
                <w:szCs w:val="16"/>
              </w:rPr>
              <w:t>④ Interagency Governance via DSAs</w:t>
            </w:r>
          </w:p>
          <w:p w14:paraId="6716AE93" w14:textId="77777777" w:rsidR="008B6C73" w:rsidRDefault="00000000">
            <w:r>
              <w:rPr>
                <w:rFonts w:ascii="Calibri" w:eastAsia="Calibri" w:hAnsi="Calibri" w:cs="Calibri"/>
                <w:color w:val="1A1A1A"/>
                <w:sz w:val="16"/>
                <w:szCs w:val="16"/>
              </w:rPr>
              <w:t>Formal data-sharing agreements govern how data is matched, used, and protected. The Managing Director's Office provides cross-agency coordination. No state legislation was required — only mayoral executive authority.</w:t>
            </w:r>
          </w:p>
        </w:tc>
      </w:tr>
    </w:tbl>
    <w:p w14:paraId="273B4260" w14:textId="77777777" w:rsidR="008B6C73" w:rsidRDefault="008B6C73">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
        <w:gridCol w:w="9180"/>
      </w:tblGrid>
      <w:tr w:rsidR="008B6C73" w14:paraId="5C63169D" w14:textId="77777777">
        <w:tc>
          <w:tcPr>
            <w:tcW w:w="180" w:type="dxa"/>
            <w:tcBorders>
              <w:top w:val="none" w:sz="0" w:space="0" w:color="FFFFFF"/>
              <w:left w:val="none" w:sz="0" w:space="0" w:color="FFFFFF"/>
              <w:bottom w:val="none" w:sz="0" w:space="0" w:color="FFFFFF"/>
              <w:right w:val="none" w:sz="0" w:space="0" w:color="FFFFFF"/>
            </w:tcBorders>
            <w:shd w:val="clear" w:color="auto" w:fill="2C5F8A"/>
            <w:tcMar>
              <w:top w:w="0" w:type="dxa"/>
              <w:left w:w="0" w:type="dxa"/>
              <w:bottom w:w="0" w:type="dxa"/>
              <w:right w:w="0" w:type="dxa"/>
            </w:tcMar>
          </w:tcPr>
          <w:p w14:paraId="276E2B07" w14:textId="77777777" w:rsidR="008B6C73" w:rsidRDefault="008B6C73"/>
        </w:tc>
        <w:tc>
          <w:tcPr>
            <w:tcW w:w="9180" w:type="dxa"/>
            <w:tcBorders>
              <w:top w:val="none" w:sz="0" w:space="0" w:color="FFFFFF"/>
              <w:left w:val="none" w:sz="0" w:space="0" w:color="FFFFFF"/>
              <w:bottom w:val="none" w:sz="0" w:space="0" w:color="FFFFFF"/>
              <w:right w:val="none" w:sz="0" w:space="0" w:color="FFFFFF"/>
            </w:tcBorders>
            <w:shd w:val="clear" w:color="auto" w:fill="FFFFFF"/>
            <w:tcMar>
              <w:top w:w="28" w:type="dxa"/>
              <w:left w:w="110" w:type="dxa"/>
              <w:bottom w:w="28" w:type="dxa"/>
              <w:right w:w="0" w:type="dxa"/>
            </w:tcMar>
          </w:tcPr>
          <w:p w14:paraId="48757054" w14:textId="77777777" w:rsidR="008B6C73" w:rsidRDefault="00000000">
            <w:r>
              <w:rPr>
                <w:rFonts w:ascii="Calibri" w:eastAsia="Calibri" w:hAnsi="Calibri" w:cs="Calibri"/>
                <w:b/>
                <w:bCs/>
                <w:color w:val="2C5F8A"/>
                <w:sz w:val="16"/>
                <w:szCs w:val="16"/>
              </w:rPr>
              <w:t>ENABLING CONDITIONS &amp; REPLICATION</w:t>
            </w:r>
          </w:p>
        </w:tc>
      </w:tr>
    </w:tbl>
    <w:p w14:paraId="6067658B" w14:textId="77777777" w:rsidR="008B6C73" w:rsidRDefault="008B6C73">
      <w:pPr>
        <w:spacing w:after="28"/>
      </w:pP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125"/>
        <w:gridCol w:w="5670"/>
      </w:tblGrid>
      <w:tr w:rsidR="008B6C73" w14:paraId="5278F82C" w14:textId="77777777" w:rsidTr="003B232E">
        <w:tc>
          <w:tcPr>
            <w:tcW w:w="5125" w:type="dxa"/>
            <w:tcBorders>
              <w:top w:val="single" w:sz="4" w:space="0" w:color="C0D6EA"/>
              <w:left w:val="single" w:sz="4" w:space="0" w:color="C0D6EA"/>
              <w:bottom w:val="single" w:sz="4" w:space="0" w:color="C0D6EA"/>
              <w:right w:val="single" w:sz="4" w:space="0" w:color="C0D6EA"/>
            </w:tcBorders>
            <w:shd w:val="clear" w:color="auto" w:fill="2C5F8A"/>
            <w:tcMar>
              <w:top w:w="60" w:type="dxa"/>
              <w:left w:w="110" w:type="dxa"/>
              <w:bottom w:w="60" w:type="dxa"/>
              <w:right w:w="110" w:type="dxa"/>
            </w:tcMar>
          </w:tcPr>
          <w:p w14:paraId="79AF5D89" w14:textId="77777777" w:rsidR="008B6C73" w:rsidRDefault="00000000">
            <w:r>
              <w:rPr>
                <w:rFonts w:ascii="Calibri" w:eastAsia="Calibri" w:hAnsi="Calibri" w:cs="Calibri"/>
                <w:b/>
                <w:bCs/>
                <w:color w:val="FFFFFF"/>
                <w:sz w:val="16"/>
                <w:szCs w:val="16"/>
              </w:rPr>
              <w:t>What Made It Possible</w:t>
            </w:r>
          </w:p>
        </w:tc>
        <w:tc>
          <w:tcPr>
            <w:tcW w:w="5670" w:type="dxa"/>
            <w:tcBorders>
              <w:top w:val="single" w:sz="4" w:space="0" w:color="C0D6EA"/>
              <w:left w:val="single" w:sz="4" w:space="0" w:color="C0D6EA"/>
              <w:bottom w:val="single" w:sz="4" w:space="0" w:color="C0D6EA"/>
              <w:right w:val="single" w:sz="4" w:space="0" w:color="C0D6EA"/>
            </w:tcBorders>
            <w:shd w:val="clear" w:color="auto" w:fill="2C5F8A"/>
            <w:tcMar>
              <w:top w:w="60" w:type="dxa"/>
              <w:left w:w="110" w:type="dxa"/>
              <w:bottom w:w="60" w:type="dxa"/>
              <w:right w:w="110" w:type="dxa"/>
            </w:tcMar>
          </w:tcPr>
          <w:p w14:paraId="57A43B04" w14:textId="77777777" w:rsidR="008B6C73" w:rsidRDefault="00000000">
            <w:r>
              <w:rPr>
                <w:rFonts w:ascii="Calibri" w:eastAsia="Calibri" w:hAnsi="Calibri" w:cs="Calibri"/>
                <w:b/>
                <w:bCs/>
                <w:color w:val="FFFFFF"/>
                <w:sz w:val="16"/>
                <w:szCs w:val="16"/>
              </w:rPr>
              <w:t>Who Can Replicate This</w:t>
            </w:r>
          </w:p>
        </w:tc>
      </w:tr>
      <w:tr w:rsidR="008B6C73" w14:paraId="2E30BA46" w14:textId="77777777" w:rsidTr="003B232E">
        <w:tc>
          <w:tcPr>
            <w:tcW w:w="5125" w:type="dxa"/>
            <w:tcBorders>
              <w:top w:val="single" w:sz="4" w:space="0" w:color="C0D6EA"/>
              <w:left w:val="single" w:sz="4" w:space="0" w:color="C0D6EA"/>
              <w:bottom w:val="single" w:sz="4" w:space="0" w:color="C0D6EA"/>
              <w:right w:val="single" w:sz="4" w:space="0" w:color="C0D6EA"/>
            </w:tcBorders>
            <w:shd w:val="clear" w:color="auto" w:fill="FFFFFF"/>
            <w:tcMar>
              <w:top w:w="55" w:type="dxa"/>
              <w:left w:w="110" w:type="dxa"/>
              <w:bottom w:w="55" w:type="dxa"/>
              <w:right w:w="110" w:type="dxa"/>
            </w:tcMar>
          </w:tcPr>
          <w:p w14:paraId="05D58329" w14:textId="77777777" w:rsidR="008B6C73" w:rsidRDefault="00000000">
            <w:r>
              <w:rPr>
                <w:rFonts w:ascii="Calibri" w:eastAsia="Calibri" w:hAnsi="Calibri" w:cs="Calibri"/>
                <w:color w:val="1A1A1A"/>
                <w:sz w:val="16"/>
                <w:szCs w:val="16"/>
              </w:rPr>
              <w:t>Mayor's Executive Order 2022-02 established the legal foundation — no state legislation required</w:t>
            </w:r>
          </w:p>
        </w:tc>
        <w:tc>
          <w:tcPr>
            <w:tcW w:w="5670" w:type="dxa"/>
            <w:tcBorders>
              <w:top w:val="single" w:sz="4" w:space="0" w:color="C0D6EA"/>
              <w:left w:val="single" w:sz="4" w:space="0" w:color="C0D6EA"/>
              <w:bottom w:val="single" w:sz="4" w:space="0" w:color="C0D6EA"/>
              <w:right w:val="single" w:sz="4" w:space="0" w:color="C0D6EA"/>
            </w:tcBorders>
            <w:shd w:val="clear" w:color="auto" w:fill="FFFFFF"/>
            <w:tcMar>
              <w:top w:w="55" w:type="dxa"/>
              <w:left w:w="110" w:type="dxa"/>
              <w:bottom w:w="55" w:type="dxa"/>
              <w:right w:w="110" w:type="dxa"/>
            </w:tcMar>
          </w:tcPr>
          <w:p w14:paraId="6B1560D5" w14:textId="77777777" w:rsidR="008B6C73" w:rsidRDefault="00000000">
            <w:r>
              <w:rPr>
                <w:rFonts w:ascii="Calibri" w:eastAsia="Calibri" w:hAnsi="Calibri" w:cs="Calibri"/>
                <w:color w:val="1A1A1A"/>
                <w:sz w:val="16"/>
                <w:szCs w:val="16"/>
              </w:rPr>
              <w:t>Cities can establish integrated data systems through executive order or administrative action without state authorization</w:t>
            </w:r>
          </w:p>
        </w:tc>
      </w:tr>
      <w:tr w:rsidR="008B6C73" w14:paraId="2A203EAC" w14:textId="77777777" w:rsidTr="003B232E">
        <w:tc>
          <w:tcPr>
            <w:tcW w:w="5125" w:type="dxa"/>
            <w:tcBorders>
              <w:top w:val="single" w:sz="4" w:space="0" w:color="C0D6EA"/>
              <w:left w:val="single" w:sz="4" w:space="0" w:color="C0D6EA"/>
              <w:bottom w:val="single" w:sz="4" w:space="0" w:color="C0D6EA"/>
              <w:right w:val="single" w:sz="4" w:space="0" w:color="C0D6EA"/>
            </w:tcBorders>
            <w:shd w:val="clear" w:color="auto" w:fill="F5F8FC"/>
            <w:tcMar>
              <w:top w:w="55" w:type="dxa"/>
              <w:left w:w="110" w:type="dxa"/>
              <w:bottom w:w="55" w:type="dxa"/>
              <w:right w:w="110" w:type="dxa"/>
            </w:tcMar>
          </w:tcPr>
          <w:p w14:paraId="1E66E2AD" w14:textId="77777777" w:rsidR="008B6C73" w:rsidRDefault="00000000">
            <w:r>
              <w:rPr>
                <w:rFonts w:ascii="Calibri" w:eastAsia="Calibri" w:hAnsi="Calibri" w:cs="Calibri"/>
                <w:color w:val="1A1A1A"/>
                <w:sz w:val="16"/>
                <w:szCs w:val="16"/>
              </w:rPr>
              <w:t>Formal DSAs between agencies govern data matching, privacy, and use — creating legal clarity for cross-agency data flows</w:t>
            </w:r>
          </w:p>
        </w:tc>
        <w:tc>
          <w:tcPr>
            <w:tcW w:w="5670" w:type="dxa"/>
            <w:tcBorders>
              <w:top w:val="single" w:sz="4" w:space="0" w:color="C0D6EA"/>
              <w:left w:val="single" w:sz="4" w:space="0" w:color="C0D6EA"/>
              <w:bottom w:val="single" w:sz="4" w:space="0" w:color="C0D6EA"/>
              <w:right w:val="single" w:sz="4" w:space="0" w:color="C0D6EA"/>
            </w:tcBorders>
            <w:shd w:val="clear" w:color="auto" w:fill="F5F8FC"/>
            <w:tcMar>
              <w:top w:w="55" w:type="dxa"/>
              <w:left w:w="110" w:type="dxa"/>
              <w:bottom w:w="55" w:type="dxa"/>
              <w:right w:w="110" w:type="dxa"/>
            </w:tcMar>
          </w:tcPr>
          <w:p w14:paraId="6C12D91E" w14:textId="77777777" w:rsidR="008B6C73" w:rsidRDefault="00000000">
            <w:r>
              <w:rPr>
                <w:rFonts w:ascii="Calibri" w:eastAsia="Calibri" w:hAnsi="Calibri" w:cs="Calibri"/>
                <w:color w:val="1A1A1A"/>
                <w:sz w:val="16"/>
                <w:szCs w:val="16"/>
              </w:rPr>
              <w:t>Cities should invest in legal capacity to draft interagency DSAs before attempting data integration</w:t>
            </w:r>
          </w:p>
        </w:tc>
      </w:tr>
      <w:tr w:rsidR="008B6C73" w14:paraId="32F60002" w14:textId="77777777" w:rsidTr="003B232E">
        <w:tc>
          <w:tcPr>
            <w:tcW w:w="5125" w:type="dxa"/>
            <w:tcBorders>
              <w:top w:val="single" w:sz="4" w:space="0" w:color="C0D6EA"/>
              <w:left w:val="single" w:sz="4" w:space="0" w:color="C0D6EA"/>
              <w:bottom w:val="single" w:sz="4" w:space="0" w:color="C0D6EA"/>
              <w:right w:val="single" w:sz="4" w:space="0" w:color="C0D6EA"/>
            </w:tcBorders>
            <w:shd w:val="clear" w:color="auto" w:fill="FFFFFF"/>
            <w:tcMar>
              <w:top w:w="55" w:type="dxa"/>
              <w:left w:w="110" w:type="dxa"/>
              <w:bottom w:w="55" w:type="dxa"/>
              <w:right w:w="110" w:type="dxa"/>
            </w:tcMar>
          </w:tcPr>
          <w:p w14:paraId="3211202E" w14:textId="77777777" w:rsidR="008B6C73" w:rsidRDefault="00000000">
            <w:r>
              <w:rPr>
                <w:rFonts w:ascii="Calibri" w:eastAsia="Calibri" w:hAnsi="Calibri" w:cs="Calibri"/>
                <w:color w:val="1A1A1A"/>
                <w:sz w:val="16"/>
                <w:szCs w:val="16"/>
              </w:rPr>
              <w:t>The Managing Director's Office provided centralized governance preventing siloed agency data from remaining fragmented</w:t>
            </w:r>
          </w:p>
        </w:tc>
        <w:tc>
          <w:tcPr>
            <w:tcW w:w="5670" w:type="dxa"/>
            <w:tcBorders>
              <w:top w:val="single" w:sz="4" w:space="0" w:color="C0D6EA"/>
              <w:left w:val="single" w:sz="4" w:space="0" w:color="C0D6EA"/>
              <w:bottom w:val="single" w:sz="4" w:space="0" w:color="C0D6EA"/>
              <w:right w:val="single" w:sz="4" w:space="0" w:color="C0D6EA"/>
            </w:tcBorders>
            <w:shd w:val="clear" w:color="auto" w:fill="FFFFFF"/>
            <w:tcMar>
              <w:top w:w="55" w:type="dxa"/>
              <w:left w:w="110" w:type="dxa"/>
              <w:bottom w:w="55" w:type="dxa"/>
              <w:right w:w="110" w:type="dxa"/>
            </w:tcMar>
          </w:tcPr>
          <w:p w14:paraId="560C5A6E" w14:textId="77777777" w:rsidR="008B6C73" w:rsidRDefault="00000000">
            <w:r>
              <w:rPr>
                <w:rFonts w:ascii="Calibri" w:eastAsia="Calibri" w:hAnsi="Calibri" w:cs="Calibri"/>
                <w:color w:val="1A1A1A"/>
                <w:sz w:val="16"/>
                <w:szCs w:val="16"/>
              </w:rPr>
              <w:t xml:space="preserve">Cities need a designated cross-agency coordinator — a </w:t>
            </w:r>
            <w:proofErr w:type="gramStart"/>
            <w:r>
              <w:rPr>
                <w:rFonts w:ascii="Calibri" w:eastAsia="Calibri" w:hAnsi="Calibri" w:cs="Calibri"/>
                <w:color w:val="1A1A1A"/>
                <w:sz w:val="16"/>
                <w:szCs w:val="16"/>
              </w:rPr>
              <w:t>Mayor's</w:t>
            </w:r>
            <w:proofErr w:type="gramEnd"/>
            <w:r>
              <w:rPr>
                <w:rFonts w:ascii="Calibri" w:eastAsia="Calibri" w:hAnsi="Calibri" w:cs="Calibri"/>
                <w:color w:val="1A1A1A"/>
                <w:sz w:val="16"/>
                <w:szCs w:val="16"/>
              </w:rPr>
              <w:t xml:space="preserve"> office, MDO equivalent, or Chief Data Officer</w:t>
            </w:r>
          </w:p>
        </w:tc>
      </w:tr>
      <w:tr w:rsidR="008B6C73" w14:paraId="3E09F584" w14:textId="77777777" w:rsidTr="003B232E">
        <w:tc>
          <w:tcPr>
            <w:tcW w:w="5125" w:type="dxa"/>
            <w:tcBorders>
              <w:top w:val="single" w:sz="4" w:space="0" w:color="C0D6EA"/>
              <w:left w:val="single" w:sz="4" w:space="0" w:color="C0D6EA"/>
              <w:bottom w:val="single" w:sz="4" w:space="0" w:color="C0D6EA"/>
              <w:right w:val="single" w:sz="4" w:space="0" w:color="C0D6EA"/>
            </w:tcBorders>
            <w:shd w:val="clear" w:color="auto" w:fill="F5F8FC"/>
            <w:tcMar>
              <w:top w:w="55" w:type="dxa"/>
              <w:left w:w="110" w:type="dxa"/>
              <w:bottom w:w="55" w:type="dxa"/>
              <w:right w:w="110" w:type="dxa"/>
            </w:tcMar>
          </w:tcPr>
          <w:p w14:paraId="226B2299" w14:textId="77777777" w:rsidR="008B6C73" w:rsidRDefault="00000000">
            <w:r>
              <w:rPr>
                <w:rFonts w:ascii="Calibri" w:eastAsia="Calibri" w:hAnsi="Calibri" w:cs="Calibri"/>
                <w:color w:val="1A1A1A"/>
                <w:sz w:val="16"/>
                <w:szCs w:val="16"/>
              </w:rPr>
              <w:t>Water Revenue Bureau and Department of Revenue supplied core administrative data and program levers</w:t>
            </w:r>
          </w:p>
        </w:tc>
        <w:tc>
          <w:tcPr>
            <w:tcW w:w="5670" w:type="dxa"/>
            <w:tcBorders>
              <w:top w:val="single" w:sz="4" w:space="0" w:color="C0D6EA"/>
              <w:left w:val="single" w:sz="4" w:space="0" w:color="C0D6EA"/>
              <w:bottom w:val="single" w:sz="4" w:space="0" w:color="C0D6EA"/>
              <w:right w:val="single" w:sz="4" w:space="0" w:color="C0D6EA"/>
            </w:tcBorders>
            <w:shd w:val="clear" w:color="auto" w:fill="F5F8FC"/>
            <w:tcMar>
              <w:top w:w="55" w:type="dxa"/>
              <w:left w:w="110" w:type="dxa"/>
              <w:bottom w:w="55" w:type="dxa"/>
              <w:right w:w="110" w:type="dxa"/>
            </w:tcMar>
          </w:tcPr>
          <w:p w14:paraId="031B0135" w14:textId="77777777" w:rsidR="008B6C73" w:rsidRDefault="00000000">
            <w:r>
              <w:rPr>
                <w:rFonts w:ascii="Calibri" w:eastAsia="Calibri" w:hAnsi="Calibri" w:cs="Calibri"/>
                <w:color w:val="1A1A1A"/>
                <w:sz w:val="16"/>
                <w:szCs w:val="16"/>
              </w:rPr>
              <w:t>Cities with utility billing data and income records already in city systems have the raw inputs for IDEA-style integration</w:t>
            </w:r>
          </w:p>
        </w:tc>
      </w:tr>
      <w:tr w:rsidR="008B6C73" w14:paraId="78B5C37F" w14:textId="77777777" w:rsidTr="003B232E">
        <w:tc>
          <w:tcPr>
            <w:tcW w:w="5125" w:type="dxa"/>
            <w:tcBorders>
              <w:top w:val="single" w:sz="4" w:space="0" w:color="C0D6EA"/>
              <w:left w:val="single" w:sz="4" w:space="0" w:color="C0D6EA"/>
              <w:bottom w:val="single" w:sz="4" w:space="0" w:color="C0D6EA"/>
              <w:right w:val="single" w:sz="4" w:space="0" w:color="C0D6EA"/>
            </w:tcBorders>
            <w:shd w:val="clear" w:color="auto" w:fill="FFFFFF"/>
            <w:tcMar>
              <w:top w:w="55" w:type="dxa"/>
              <w:left w:w="110" w:type="dxa"/>
              <w:bottom w:w="55" w:type="dxa"/>
              <w:right w:w="110" w:type="dxa"/>
            </w:tcMar>
          </w:tcPr>
          <w:p w14:paraId="1F1CA9B1" w14:textId="77777777" w:rsidR="008B6C73" w:rsidRDefault="00000000">
            <w:r>
              <w:rPr>
                <w:rFonts w:ascii="Calibri" w:eastAsia="Calibri" w:hAnsi="Calibri" w:cs="Calibri"/>
                <w:color w:val="1A1A1A"/>
                <w:sz w:val="16"/>
                <w:szCs w:val="16"/>
              </w:rPr>
              <w:t>Bloomberg Philanthropies and Harvard's Data-Smart initiative provided technical assistance at launch</w:t>
            </w:r>
          </w:p>
        </w:tc>
        <w:tc>
          <w:tcPr>
            <w:tcW w:w="5670" w:type="dxa"/>
            <w:tcBorders>
              <w:top w:val="single" w:sz="4" w:space="0" w:color="C0D6EA"/>
              <w:left w:val="single" w:sz="4" w:space="0" w:color="C0D6EA"/>
              <w:bottom w:val="single" w:sz="4" w:space="0" w:color="C0D6EA"/>
              <w:right w:val="single" w:sz="4" w:space="0" w:color="C0D6EA"/>
            </w:tcBorders>
            <w:shd w:val="clear" w:color="auto" w:fill="FFFFFF"/>
            <w:tcMar>
              <w:top w:w="55" w:type="dxa"/>
              <w:left w:w="110" w:type="dxa"/>
              <w:bottom w:w="55" w:type="dxa"/>
              <w:right w:w="110" w:type="dxa"/>
            </w:tcMar>
          </w:tcPr>
          <w:p w14:paraId="29A6A286" w14:textId="77777777" w:rsidR="008B6C73" w:rsidRDefault="00000000">
            <w:r>
              <w:rPr>
                <w:rFonts w:ascii="Calibri" w:eastAsia="Calibri" w:hAnsi="Calibri" w:cs="Calibri"/>
                <w:color w:val="1A1A1A"/>
                <w:sz w:val="16"/>
                <w:szCs w:val="16"/>
              </w:rPr>
              <w:t>Cities with limited data science capacity should seek philanthropic or university technical assistance partners</w:t>
            </w:r>
          </w:p>
        </w:tc>
      </w:tr>
      <w:tr w:rsidR="008B6C73" w14:paraId="5B0AF08F" w14:textId="77777777" w:rsidTr="003E3CE7">
        <w:trPr>
          <w:trHeight w:val="272"/>
        </w:trPr>
        <w:tc>
          <w:tcPr>
            <w:tcW w:w="5125" w:type="dxa"/>
            <w:tcBorders>
              <w:top w:val="single" w:sz="4" w:space="0" w:color="C0D6EA"/>
              <w:left w:val="single" w:sz="4" w:space="0" w:color="C0D6EA"/>
              <w:bottom w:val="single" w:sz="4" w:space="0" w:color="C0D6EA"/>
              <w:right w:val="single" w:sz="4" w:space="0" w:color="C0D6EA"/>
            </w:tcBorders>
            <w:shd w:val="clear" w:color="auto" w:fill="F5F8FC"/>
            <w:tcMar>
              <w:top w:w="55" w:type="dxa"/>
              <w:left w:w="110" w:type="dxa"/>
              <w:bottom w:w="55" w:type="dxa"/>
              <w:right w:w="110" w:type="dxa"/>
            </w:tcMar>
          </w:tcPr>
          <w:p w14:paraId="7019D0A7" w14:textId="77777777" w:rsidR="008B6C73" w:rsidRDefault="00000000">
            <w:r>
              <w:rPr>
                <w:rFonts w:ascii="Calibri" w:eastAsia="Calibri" w:hAnsi="Calibri" w:cs="Calibri"/>
                <w:color w:val="1A1A1A"/>
                <w:sz w:val="16"/>
                <w:szCs w:val="16"/>
              </w:rPr>
              <w:t>Strong political support for proactive, data-driven enrollment was the essential enabling condition</w:t>
            </w:r>
          </w:p>
        </w:tc>
        <w:tc>
          <w:tcPr>
            <w:tcW w:w="5670" w:type="dxa"/>
            <w:tcBorders>
              <w:top w:val="single" w:sz="4" w:space="0" w:color="C0D6EA"/>
              <w:left w:val="single" w:sz="4" w:space="0" w:color="C0D6EA"/>
              <w:bottom w:val="single" w:sz="4" w:space="0" w:color="C0D6EA"/>
              <w:right w:val="single" w:sz="4" w:space="0" w:color="C0D6EA"/>
            </w:tcBorders>
            <w:shd w:val="clear" w:color="auto" w:fill="F5F8FC"/>
            <w:tcMar>
              <w:top w:w="55" w:type="dxa"/>
              <w:left w:w="110" w:type="dxa"/>
              <w:bottom w:w="55" w:type="dxa"/>
              <w:right w:w="110" w:type="dxa"/>
            </w:tcMar>
          </w:tcPr>
          <w:p w14:paraId="296677B4" w14:textId="77777777" w:rsidR="008B6C73" w:rsidRDefault="00000000">
            <w:r>
              <w:rPr>
                <w:rFonts w:ascii="Calibri" w:eastAsia="Calibri" w:hAnsi="Calibri" w:cs="Calibri"/>
                <w:color w:val="1A1A1A"/>
                <w:sz w:val="16"/>
                <w:szCs w:val="16"/>
              </w:rPr>
              <w:t>Cities need executive-level commitment to the principle that government should find eligible residents, not wait for applications</w:t>
            </w:r>
          </w:p>
        </w:tc>
      </w:tr>
    </w:tbl>
    <w:p w14:paraId="0FEE22FA" w14:textId="77777777" w:rsidR="008B6C73" w:rsidRDefault="008B6C73" w:rsidP="003E3CE7">
      <w:pPr>
        <w:spacing w:after="30"/>
      </w:pPr>
    </w:p>
    <w:sectPr w:rsidR="008B6C73">
      <w:pgSz w:w="12240" w:h="15840"/>
      <w:pgMar w:top="500" w:right="600" w:bottom="500" w:left="6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C87D26"/>
    <w:multiLevelType w:val="hybridMultilevel"/>
    <w:tmpl w:val="E0E8E45E"/>
    <w:lvl w:ilvl="0" w:tplc="88128A0C">
      <w:start w:val="1"/>
      <w:numFmt w:val="bullet"/>
      <w:lvlText w:val="●"/>
      <w:lvlJc w:val="left"/>
      <w:pPr>
        <w:ind w:left="720" w:hanging="360"/>
      </w:pPr>
    </w:lvl>
    <w:lvl w:ilvl="1" w:tplc="768A1AAC">
      <w:start w:val="1"/>
      <w:numFmt w:val="bullet"/>
      <w:lvlText w:val="○"/>
      <w:lvlJc w:val="left"/>
      <w:pPr>
        <w:ind w:left="1440" w:hanging="360"/>
      </w:pPr>
    </w:lvl>
    <w:lvl w:ilvl="2" w:tplc="B6D0F082">
      <w:start w:val="1"/>
      <w:numFmt w:val="bullet"/>
      <w:lvlText w:val="■"/>
      <w:lvlJc w:val="left"/>
      <w:pPr>
        <w:ind w:left="2160" w:hanging="360"/>
      </w:pPr>
    </w:lvl>
    <w:lvl w:ilvl="3" w:tplc="5DCE2D70">
      <w:start w:val="1"/>
      <w:numFmt w:val="bullet"/>
      <w:lvlText w:val="●"/>
      <w:lvlJc w:val="left"/>
      <w:pPr>
        <w:ind w:left="2880" w:hanging="360"/>
      </w:pPr>
    </w:lvl>
    <w:lvl w:ilvl="4" w:tplc="8AEE3AE0">
      <w:start w:val="1"/>
      <w:numFmt w:val="bullet"/>
      <w:lvlText w:val="○"/>
      <w:lvlJc w:val="left"/>
      <w:pPr>
        <w:ind w:left="3600" w:hanging="360"/>
      </w:pPr>
    </w:lvl>
    <w:lvl w:ilvl="5" w:tplc="07F21F5A">
      <w:start w:val="1"/>
      <w:numFmt w:val="bullet"/>
      <w:lvlText w:val="■"/>
      <w:lvlJc w:val="left"/>
      <w:pPr>
        <w:ind w:left="4320" w:hanging="360"/>
      </w:pPr>
    </w:lvl>
    <w:lvl w:ilvl="6" w:tplc="033EBC74">
      <w:start w:val="1"/>
      <w:numFmt w:val="bullet"/>
      <w:lvlText w:val="●"/>
      <w:lvlJc w:val="left"/>
      <w:pPr>
        <w:ind w:left="5040" w:hanging="360"/>
      </w:pPr>
    </w:lvl>
    <w:lvl w:ilvl="7" w:tplc="551EE14E">
      <w:start w:val="1"/>
      <w:numFmt w:val="bullet"/>
      <w:lvlText w:val="●"/>
      <w:lvlJc w:val="left"/>
      <w:pPr>
        <w:ind w:left="5760" w:hanging="360"/>
      </w:pPr>
    </w:lvl>
    <w:lvl w:ilvl="8" w:tplc="22A6AA80">
      <w:start w:val="1"/>
      <w:numFmt w:val="bullet"/>
      <w:lvlText w:val="●"/>
      <w:lvlJc w:val="left"/>
      <w:pPr>
        <w:ind w:left="6480" w:hanging="360"/>
      </w:pPr>
    </w:lvl>
  </w:abstractNum>
  <w:num w:numId="1" w16cid:durableId="1297687215">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1"/>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6C73"/>
    <w:rsid w:val="0005253A"/>
    <w:rsid w:val="000B5DC1"/>
    <w:rsid w:val="003B232E"/>
    <w:rsid w:val="003B72B5"/>
    <w:rsid w:val="003E3CE7"/>
    <w:rsid w:val="005A46B9"/>
    <w:rsid w:val="00791327"/>
    <w:rsid w:val="008B6C73"/>
    <w:rsid w:val="00A71799"/>
    <w:rsid w:val="00D929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C5C03BD"/>
  <w15:docId w15:val="{DF4EEE37-1579-7F42-99F4-150BE56A5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721</Words>
  <Characters>4113</Characters>
  <Application>Microsoft Office Word</Application>
  <DocSecurity>0</DocSecurity>
  <Lines>34</Lines>
  <Paragraphs>9</Paragraphs>
  <ScaleCrop>false</ScaleCrop>
  <Company/>
  <LinksUpToDate>false</LinksUpToDate>
  <CharactersWithSpaces>4825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nkd2128</cp:lastModifiedBy>
  <cp:revision>2</cp:revision>
  <dcterms:created xsi:type="dcterms:W3CDTF">2026-07-11T01:02:00Z</dcterms:created>
  <dcterms:modified xsi:type="dcterms:W3CDTF">2026-07-11T01:02:00Z</dcterms:modified>
</cp:coreProperties>
</file>