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8B6C73" w14:paraId="5017075F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3D1F5C"/>
            <w:tcMar>
              <w:top w:w="20" w:type="dxa"/>
              <w:left w:w="160" w:type="dxa"/>
              <w:bottom w:w="10" w:type="dxa"/>
              <w:right w:w="160" w:type="dxa"/>
            </w:tcMar>
          </w:tcPr>
          <w:p w14:paraId="79BFD9E4" w14:textId="77777777" w:rsidR="008B6C73" w:rsidRDefault="00000000">
            <w:r>
              <w:rPr>
                <w:rFonts w:ascii="Calibri" w:eastAsia="Calibri" w:hAnsi="Calibri" w:cs="Calibri"/>
                <w:b/>
                <w:bCs/>
                <w:color w:val="FFFFFF"/>
                <w:sz w:val="46"/>
                <w:szCs w:val="46"/>
              </w:rPr>
              <w:t>Municipal Utility Direct Control</w:t>
            </w:r>
          </w:p>
        </w:tc>
      </w:tr>
      <w:tr w:rsidR="008B6C73" w14:paraId="17D8E450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3D1F5C"/>
            <w:tcMar>
              <w:top w:w="4" w:type="dxa"/>
              <w:left w:w="160" w:type="dxa"/>
              <w:bottom w:w="4" w:type="dxa"/>
              <w:right w:w="160" w:type="dxa"/>
            </w:tcMar>
          </w:tcPr>
          <w:p w14:paraId="1E82B7FB" w14:textId="24843E79" w:rsidR="008B6C73" w:rsidRDefault="00000000">
            <w:r>
              <w:rPr>
                <w:rFonts w:ascii="Calibri" w:eastAsia="Calibri" w:hAnsi="Calibri" w:cs="Calibri"/>
                <w:b/>
                <w:bCs/>
                <w:color w:val="D8F0ED"/>
                <w:sz w:val="16"/>
                <w:szCs w:val="16"/>
              </w:rPr>
              <w:t xml:space="preserve">Seattle City </w:t>
            </w:r>
            <w:proofErr w:type="gramStart"/>
            <w:r>
              <w:rPr>
                <w:rFonts w:ascii="Calibri" w:eastAsia="Calibri" w:hAnsi="Calibri" w:cs="Calibri"/>
                <w:b/>
                <w:bCs/>
                <w:color w:val="D8F0ED"/>
                <w:sz w:val="16"/>
                <w:szCs w:val="16"/>
              </w:rPr>
              <w:t>Light  ·</w:t>
            </w:r>
            <w:proofErr w:type="gramEnd"/>
            <w:r>
              <w:rPr>
                <w:rFonts w:ascii="Calibri" w:eastAsia="Calibri" w:hAnsi="Calibri" w:cs="Calibri"/>
                <w:b/>
                <w:bCs/>
                <w:color w:val="D8F0ED"/>
                <w:sz w:val="16"/>
                <w:szCs w:val="16"/>
              </w:rPr>
              <w:t xml:space="preserve">  </w:t>
            </w:r>
            <w:proofErr w:type="gramStart"/>
            <w:r>
              <w:rPr>
                <w:rFonts w:ascii="Calibri" w:eastAsia="Calibri" w:hAnsi="Calibri" w:cs="Calibri"/>
                <w:b/>
                <w:bCs/>
                <w:color w:val="D8F0ED"/>
                <w:sz w:val="16"/>
                <w:szCs w:val="16"/>
              </w:rPr>
              <w:t>LADWP  ·</w:t>
            </w:r>
            <w:proofErr w:type="gramEnd"/>
            <w:r>
              <w:rPr>
                <w:rFonts w:ascii="Calibri" w:eastAsia="Calibri" w:hAnsi="Calibri" w:cs="Calibri"/>
                <w:b/>
                <w:bCs/>
                <w:color w:val="D8F0ED"/>
                <w:sz w:val="16"/>
                <w:szCs w:val="16"/>
              </w:rPr>
              <w:t xml:space="preserve">  Winter Park Electric</w:t>
            </w:r>
            <w:r w:rsidR="00BB23BD">
              <w:rPr>
                <w:rFonts w:ascii="Calibri" w:eastAsia="Calibri" w:hAnsi="Calibri" w:cs="Calibri"/>
                <w:b/>
                <w:bCs/>
                <w:color w:val="D8F0ED"/>
                <w:sz w:val="16"/>
                <w:szCs w:val="16"/>
              </w:rPr>
              <w:t xml:space="preserve"> </w:t>
            </w:r>
          </w:p>
        </w:tc>
      </w:tr>
      <w:tr w:rsidR="008B6C73" w14:paraId="15FD4F99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2A1240"/>
            <w:tcMar>
              <w:top w:w="40" w:type="dxa"/>
              <w:left w:w="160" w:type="dxa"/>
              <w:bottom w:w="40" w:type="dxa"/>
              <w:right w:w="160" w:type="dxa"/>
            </w:tcMar>
          </w:tcPr>
          <w:p w14:paraId="76BB9984" w14:textId="77777777" w:rsidR="008B6C73" w:rsidRDefault="00000000">
            <w:r>
              <w:rPr>
                <w:rFonts w:ascii="Calibri" w:eastAsia="Calibri" w:hAnsi="Calibri" w:cs="Calibri"/>
                <w:b/>
                <w:bCs/>
                <w:color w:val="C8A8F0"/>
                <w:sz w:val="15"/>
                <w:szCs w:val="15"/>
              </w:rPr>
              <w:t xml:space="preserve">Est. Seattle City Light </w:t>
            </w:r>
            <w:proofErr w:type="gramStart"/>
            <w:r>
              <w:rPr>
                <w:rFonts w:ascii="Calibri" w:eastAsia="Calibri" w:hAnsi="Calibri" w:cs="Calibri"/>
                <w:b/>
                <w:bCs/>
                <w:color w:val="C8A8F0"/>
                <w:sz w:val="15"/>
                <w:szCs w:val="15"/>
              </w:rPr>
              <w:t>1905  ·</w:t>
            </w:r>
            <w:proofErr w:type="gramEnd"/>
            <w:r>
              <w:rPr>
                <w:rFonts w:ascii="Calibri" w:eastAsia="Calibri" w:hAnsi="Calibri" w:cs="Calibri"/>
                <w:b/>
                <w:bCs/>
                <w:color w:val="C8A8F0"/>
                <w:sz w:val="15"/>
                <w:szCs w:val="15"/>
              </w:rPr>
              <w:t xml:space="preserve">  LADWP Founded </w:t>
            </w:r>
            <w:proofErr w:type="gramStart"/>
            <w:r>
              <w:rPr>
                <w:rFonts w:ascii="Calibri" w:eastAsia="Calibri" w:hAnsi="Calibri" w:cs="Calibri"/>
                <w:b/>
                <w:bCs/>
                <w:color w:val="C8A8F0"/>
                <w:sz w:val="15"/>
                <w:szCs w:val="15"/>
              </w:rPr>
              <w:t>1902  ·</w:t>
            </w:r>
            <w:proofErr w:type="gramEnd"/>
            <w:r>
              <w:rPr>
                <w:rFonts w:ascii="Calibri" w:eastAsia="Calibri" w:hAnsi="Calibri" w:cs="Calibri"/>
                <w:b/>
                <w:bCs/>
                <w:color w:val="C8A8F0"/>
                <w:sz w:val="15"/>
                <w:szCs w:val="15"/>
              </w:rPr>
              <w:t xml:space="preserve">  Advanced Pathway</w:t>
            </w:r>
          </w:p>
        </w:tc>
      </w:tr>
    </w:tbl>
    <w:p w14:paraId="31E350C3" w14:textId="77777777" w:rsidR="008B6C73" w:rsidRDefault="008B6C73">
      <w:pPr>
        <w:spacing w:after="40"/>
      </w:pPr>
    </w:p>
    <w:p w14:paraId="789E1ACF" w14:textId="77777777" w:rsidR="008B6C73" w:rsidRDefault="008B6C73">
      <w:pPr>
        <w:pBdr>
          <w:bottom w:val="single" w:sz="6" w:space="1" w:color="C8B8E8"/>
        </w:pBdr>
      </w:pPr>
    </w:p>
    <w:p w14:paraId="64776C76" w14:textId="77777777" w:rsidR="008B6C73" w:rsidRDefault="008B6C73">
      <w:pPr>
        <w:spacing w:after="3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"/>
        <w:gridCol w:w="9180"/>
      </w:tblGrid>
      <w:tr w:rsidR="008B6C73" w14:paraId="6C70B4E5" w14:textId="77777777">
        <w:tc>
          <w:tcPr>
            <w:tcW w:w="1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6B3FA0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88CF0C" w14:textId="77777777" w:rsidR="008B6C73" w:rsidRDefault="008B6C73"/>
        </w:tc>
        <w:tc>
          <w:tcPr>
            <w:tcW w:w="91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28" w:type="dxa"/>
              <w:left w:w="110" w:type="dxa"/>
              <w:bottom w:w="28" w:type="dxa"/>
              <w:right w:w="0" w:type="dxa"/>
            </w:tcMar>
          </w:tcPr>
          <w:p w14:paraId="1F7BD395" w14:textId="77777777" w:rsidR="008B6C73" w:rsidRDefault="00000000">
            <w:r>
              <w:rPr>
                <w:rFonts w:ascii="Calibri" w:eastAsia="Calibri" w:hAnsi="Calibri" w:cs="Calibri"/>
                <w:b/>
                <w:bCs/>
                <w:color w:val="6B3FA0"/>
                <w:sz w:val="16"/>
                <w:szCs w:val="16"/>
              </w:rPr>
              <w:t>WHAT IS IT?</w:t>
            </w:r>
          </w:p>
        </w:tc>
      </w:tr>
    </w:tbl>
    <w:p w14:paraId="3AD8B71E" w14:textId="77777777" w:rsidR="008B6C73" w:rsidRDefault="008B6C73">
      <w:pPr>
        <w:spacing w:after="25"/>
      </w:pPr>
    </w:p>
    <w:p w14:paraId="26F5D28A" w14:textId="77777777" w:rsidR="008B6C73" w:rsidRPr="00BB23BD" w:rsidRDefault="00000000">
      <w:r w:rsidRPr="00BB23BD">
        <w:rPr>
          <w:rFonts w:ascii="Calibri" w:eastAsia="Calibri" w:hAnsi="Calibri" w:cs="Calibri"/>
          <w:color w:val="1A1A1A"/>
        </w:rPr>
        <w:t>Municipal utility direct control means a city owns and operates its electricity and/or gas system rather than relying on a private investor-owned utility (IOU). This gives the city direct authority over rate design, affordability programs, infrastructure investment, and energy sourcing — without needing state utility commission approval for every decision. Roughly 2,000 publicly owned utilities serve about 14% of U.S. electricity customers and are common in cities across California, Washington, Florida, Nebraska, and beyond.</w:t>
      </w:r>
    </w:p>
    <w:p w14:paraId="3F9ACD67" w14:textId="77777777" w:rsidR="008B6C73" w:rsidRDefault="008B6C73">
      <w:pPr>
        <w:spacing w:after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"/>
        <w:gridCol w:w="9180"/>
      </w:tblGrid>
      <w:tr w:rsidR="008B6C73" w14:paraId="7B49C117" w14:textId="77777777">
        <w:tc>
          <w:tcPr>
            <w:tcW w:w="1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6B3FA0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C6B705" w14:textId="77777777" w:rsidR="008B6C73" w:rsidRDefault="008B6C73"/>
        </w:tc>
        <w:tc>
          <w:tcPr>
            <w:tcW w:w="91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28" w:type="dxa"/>
              <w:left w:w="110" w:type="dxa"/>
              <w:bottom w:w="28" w:type="dxa"/>
              <w:right w:w="0" w:type="dxa"/>
            </w:tcMar>
          </w:tcPr>
          <w:p w14:paraId="5268030C" w14:textId="77777777" w:rsidR="008B6C73" w:rsidRDefault="00000000">
            <w:r>
              <w:rPr>
                <w:rFonts w:ascii="Calibri" w:eastAsia="Calibri" w:hAnsi="Calibri" w:cs="Calibri"/>
                <w:b/>
                <w:bCs/>
                <w:color w:val="6B3FA0"/>
                <w:sz w:val="16"/>
                <w:szCs w:val="16"/>
              </w:rPr>
              <w:t>EVIDENCE HIGHLIGHTS</w:t>
            </w:r>
          </w:p>
        </w:tc>
      </w:tr>
    </w:tbl>
    <w:p w14:paraId="57819879" w14:textId="77777777" w:rsidR="008B6C73" w:rsidRDefault="008B6C73">
      <w:pPr>
        <w:spacing w:after="28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00"/>
        <w:gridCol w:w="7060"/>
      </w:tblGrid>
      <w:tr w:rsidR="008B6C73" w14:paraId="2FBFDD4E" w14:textId="77777777">
        <w:tc>
          <w:tcPr>
            <w:tcW w:w="2300" w:type="dxa"/>
            <w:tcBorders>
              <w:top w:val="single" w:sz="4" w:space="0" w:color="C8B8E8"/>
              <w:left w:val="single" w:sz="4" w:space="0" w:color="C8B8E8"/>
              <w:bottom w:val="single" w:sz="4" w:space="0" w:color="C8B8E8"/>
              <w:right w:val="single" w:sz="4" w:space="0" w:color="C8B8E8"/>
            </w:tcBorders>
            <w:shd w:val="clear" w:color="auto" w:fill="EDE0F8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1C34362" w14:textId="77777777" w:rsidR="008B6C73" w:rsidRDefault="00000000">
            <w:r>
              <w:rPr>
                <w:rFonts w:ascii="Calibri" w:eastAsia="Calibri" w:hAnsi="Calibri" w:cs="Calibri"/>
                <w:b/>
                <w:bCs/>
                <w:color w:val="3D1F5C"/>
                <w:sz w:val="16"/>
                <w:szCs w:val="16"/>
              </w:rPr>
              <w:t>Seattle City Light</w:t>
            </w:r>
          </w:p>
        </w:tc>
        <w:tc>
          <w:tcPr>
            <w:tcW w:w="7060" w:type="dxa"/>
            <w:tcBorders>
              <w:top w:val="single" w:sz="4" w:space="0" w:color="C8B8E8"/>
              <w:left w:val="single" w:sz="4" w:space="0" w:color="C8B8E8"/>
              <w:bottom w:val="single" w:sz="4" w:space="0" w:color="C8B8E8"/>
              <w:right w:val="single" w:sz="4" w:space="0" w:color="C8B8E8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100" w:type="dxa"/>
            </w:tcMar>
          </w:tcPr>
          <w:p w14:paraId="5AFCCFE1" w14:textId="77777777" w:rsidR="008B6C73" w:rsidRDefault="00000000">
            <w:r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36,145 households enrolled in the Utility Discount Program (2023). Average annual savings: $732/household. 60% electricity discount for income-qualified residents.</w:t>
            </w:r>
          </w:p>
        </w:tc>
      </w:tr>
      <w:tr w:rsidR="008B6C73" w14:paraId="4CDB157A" w14:textId="77777777">
        <w:tc>
          <w:tcPr>
            <w:tcW w:w="2300" w:type="dxa"/>
            <w:tcBorders>
              <w:top w:val="single" w:sz="4" w:space="0" w:color="C8B8E8"/>
              <w:left w:val="single" w:sz="4" w:space="0" w:color="C8B8E8"/>
              <w:bottom w:val="single" w:sz="4" w:space="0" w:color="C8B8E8"/>
              <w:right w:val="single" w:sz="4" w:space="0" w:color="C8B8E8"/>
            </w:tcBorders>
            <w:shd w:val="clear" w:color="auto" w:fill="DDD0F0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E99C8C2" w14:textId="77777777" w:rsidR="008B6C73" w:rsidRDefault="00000000">
            <w:r>
              <w:rPr>
                <w:rFonts w:ascii="Calibri" w:eastAsia="Calibri" w:hAnsi="Calibri" w:cs="Calibri"/>
                <w:b/>
                <w:bCs/>
                <w:color w:val="3D1F5C"/>
                <w:sz w:val="16"/>
                <w:szCs w:val="16"/>
              </w:rPr>
              <w:t>LADWP</w:t>
            </w:r>
          </w:p>
        </w:tc>
        <w:tc>
          <w:tcPr>
            <w:tcW w:w="7060" w:type="dxa"/>
            <w:tcBorders>
              <w:top w:val="single" w:sz="4" w:space="0" w:color="C8B8E8"/>
              <w:left w:val="single" w:sz="4" w:space="0" w:color="C8B8E8"/>
              <w:bottom w:val="single" w:sz="4" w:space="0" w:color="C8B8E8"/>
              <w:right w:val="single" w:sz="4" w:space="0" w:color="C8B8E8"/>
            </w:tcBorders>
            <w:shd w:val="clear" w:color="auto" w:fill="F5F8FC"/>
            <w:tcMar>
              <w:top w:w="55" w:type="dxa"/>
              <w:left w:w="110" w:type="dxa"/>
              <w:bottom w:w="55" w:type="dxa"/>
              <w:right w:w="100" w:type="dxa"/>
            </w:tcMar>
          </w:tcPr>
          <w:p w14:paraId="1CB7A900" w14:textId="77777777" w:rsidR="008B6C73" w:rsidRDefault="00000000">
            <w:r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Nation's largest municipal utility serving 3.9M residents. Offers LIRA (Low Income Rate Assistance) program with up to 30% discount on bills for income-qualified customers.</w:t>
            </w:r>
          </w:p>
        </w:tc>
      </w:tr>
      <w:tr w:rsidR="008B6C73" w14:paraId="62357DDF" w14:textId="77777777">
        <w:tc>
          <w:tcPr>
            <w:tcW w:w="2300" w:type="dxa"/>
            <w:tcBorders>
              <w:top w:val="single" w:sz="4" w:space="0" w:color="C8B8E8"/>
              <w:left w:val="single" w:sz="4" w:space="0" w:color="C8B8E8"/>
              <w:bottom w:val="single" w:sz="4" w:space="0" w:color="C8B8E8"/>
              <w:right w:val="single" w:sz="4" w:space="0" w:color="C8B8E8"/>
            </w:tcBorders>
            <w:shd w:val="clear" w:color="auto" w:fill="EDE0F8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BD3D72B" w14:textId="77777777" w:rsidR="008B6C73" w:rsidRDefault="00000000">
            <w:r>
              <w:rPr>
                <w:rFonts w:ascii="Calibri" w:eastAsia="Calibri" w:hAnsi="Calibri" w:cs="Calibri"/>
                <w:b/>
                <w:bCs/>
                <w:color w:val="3D1F5C"/>
                <w:sz w:val="16"/>
                <w:szCs w:val="16"/>
              </w:rPr>
              <w:t>Winter Park, FL</w:t>
            </w:r>
          </w:p>
        </w:tc>
        <w:tc>
          <w:tcPr>
            <w:tcW w:w="7060" w:type="dxa"/>
            <w:tcBorders>
              <w:top w:val="single" w:sz="4" w:space="0" w:color="C8B8E8"/>
              <w:left w:val="single" w:sz="4" w:space="0" w:color="C8B8E8"/>
              <w:bottom w:val="single" w:sz="4" w:space="0" w:color="C8B8E8"/>
              <w:right w:val="single" w:sz="4" w:space="0" w:color="C8B8E8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100" w:type="dxa"/>
            </w:tcMar>
          </w:tcPr>
          <w:p w14:paraId="58F24B09" w14:textId="77777777" w:rsidR="008B6C73" w:rsidRDefault="00000000">
            <w:r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Rates 24% below Duke Energy after municipalization (2005). Net profit since purchase; improved reliability and full underground system by 2030.</w:t>
            </w:r>
          </w:p>
        </w:tc>
      </w:tr>
    </w:tbl>
    <w:p w14:paraId="392AB98A" w14:textId="77777777" w:rsidR="008B6C73" w:rsidRDefault="008B6C73">
      <w:pPr>
        <w:spacing w:after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"/>
        <w:gridCol w:w="9180"/>
      </w:tblGrid>
      <w:tr w:rsidR="008B6C73" w14:paraId="5103D07D" w14:textId="77777777">
        <w:tc>
          <w:tcPr>
            <w:tcW w:w="1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6B3FA0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1CC1B1" w14:textId="77777777" w:rsidR="008B6C73" w:rsidRDefault="008B6C73"/>
        </w:tc>
        <w:tc>
          <w:tcPr>
            <w:tcW w:w="91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28" w:type="dxa"/>
              <w:left w:w="110" w:type="dxa"/>
              <w:bottom w:w="28" w:type="dxa"/>
              <w:right w:w="0" w:type="dxa"/>
            </w:tcMar>
          </w:tcPr>
          <w:p w14:paraId="653F85FB" w14:textId="77777777" w:rsidR="008B6C73" w:rsidRDefault="00000000">
            <w:r>
              <w:rPr>
                <w:rFonts w:ascii="Calibri" w:eastAsia="Calibri" w:hAnsi="Calibri" w:cs="Calibri"/>
                <w:b/>
                <w:bCs/>
                <w:color w:val="6B3FA0"/>
                <w:sz w:val="16"/>
                <w:szCs w:val="16"/>
              </w:rPr>
              <w:t>HOW IT WORKS</w:t>
            </w:r>
          </w:p>
        </w:tc>
      </w:tr>
    </w:tbl>
    <w:p w14:paraId="1A62313E" w14:textId="77777777" w:rsidR="008B6C73" w:rsidRDefault="008B6C73">
      <w:pPr>
        <w:spacing w:after="28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8B6C73" w14:paraId="2EFD4249" w14:textId="77777777">
        <w:tc>
          <w:tcPr>
            <w:tcW w:w="4680" w:type="dxa"/>
            <w:tcBorders>
              <w:top w:val="single" w:sz="4" w:space="0" w:color="C8B8E8"/>
              <w:left w:val="single" w:sz="4" w:space="0" w:color="C8B8E8"/>
              <w:bottom w:val="single" w:sz="4" w:space="0" w:color="C8B8E8"/>
              <w:right w:val="single" w:sz="4" w:space="0" w:color="C8B8E8"/>
            </w:tcBorders>
            <w:shd w:val="clear" w:color="auto" w:fill="EDF4FC"/>
            <w:tcMar>
              <w:top w:w="60" w:type="dxa"/>
              <w:left w:w="110" w:type="dxa"/>
              <w:bottom w:w="65" w:type="dxa"/>
              <w:right w:w="110" w:type="dxa"/>
            </w:tcMar>
          </w:tcPr>
          <w:p w14:paraId="4407C53B" w14:textId="77777777" w:rsidR="008B6C73" w:rsidRPr="00BB23BD" w:rsidRDefault="00000000">
            <w:pPr>
              <w:spacing w:after="30"/>
            </w:pPr>
            <w:r w:rsidRPr="00BB23BD">
              <w:rPr>
                <w:rFonts w:ascii="Calibri" w:eastAsia="Calibri" w:hAnsi="Calibri" w:cs="Calibri"/>
                <w:b/>
                <w:bCs/>
                <w:color w:val="6B3FA0"/>
              </w:rPr>
              <w:t>① City Ownership</w:t>
            </w:r>
          </w:p>
          <w:p w14:paraId="79263AA0" w14:textId="77777777" w:rsidR="008B6C73" w:rsidRPr="00BB23BD" w:rsidRDefault="00000000">
            <w:r w:rsidRPr="00BB23BD">
              <w:rPr>
                <w:rFonts w:ascii="Calibri" w:eastAsia="Calibri" w:hAnsi="Calibri" w:cs="Calibri"/>
                <w:color w:val="1A1A1A"/>
              </w:rPr>
              <w:t>City acquires utility via purchase, referendum, or franchise expiration. Requires home-rule authority or state enabling statute.</w:t>
            </w:r>
          </w:p>
        </w:tc>
        <w:tc>
          <w:tcPr>
            <w:tcW w:w="4680" w:type="dxa"/>
            <w:tcBorders>
              <w:top w:val="single" w:sz="4" w:space="0" w:color="C8B8E8"/>
              <w:left w:val="single" w:sz="4" w:space="0" w:color="C8B8E8"/>
              <w:bottom w:val="single" w:sz="4" w:space="0" w:color="C8B8E8"/>
              <w:right w:val="single" w:sz="4" w:space="0" w:color="C8B8E8"/>
            </w:tcBorders>
            <w:shd w:val="clear" w:color="auto" w:fill="F5F8FC"/>
            <w:tcMar>
              <w:top w:w="60" w:type="dxa"/>
              <w:left w:w="110" w:type="dxa"/>
              <w:bottom w:w="65" w:type="dxa"/>
              <w:right w:w="110" w:type="dxa"/>
            </w:tcMar>
          </w:tcPr>
          <w:p w14:paraId="4AA4164B" w14:textId="77777777" w:rsidR="008B6C73" w:rsidRPr="00BB23BD" w:rsidRDefault="00000000">
            <w:pPr>
              <w:spacing w:after="30"/>
            </w:pPr>
            <w:r w:rsidRPr="00BB23BD">
              <w:rPr>
                <w:rFonts w:ascii="Calibri" w:eastAsia="Calibri" w:hAnsi="Calibri" w:cs="Calibri"/>
                <w:b/>
                <w:bCs/>
                <w:color w:val="6B3FA0"/>
              </w:rPr>
              <w:t>② Rate Setting</w:t>
            </w:r>
          </w:p>
          <w:p w14:paraId="13F812FD" w14:textId="77777777" w:rsidR="008B6C73" w:rsidRPr="00BB23BD" w:rsidRDefault="00000000">
            <w:r w:rsidRPr="00BB23BD">
              <w:rPr>
                <w:rFonts w:ascii="Calibri" w:eastAsia="Calibri" w:hAnsi="Calibri" w:cs="Calibri"/>
                <w:color w:val="1A1A1A"/>
              </w:rPr>
              <w:t>City council (not state PUC) sets rates. Can adopt income-based rates, PIPPs, and deep discounts for low-income households.</w:t>
            </w:r>
          </w:p>
        </w:tc>
      </w:tr>
      <w:tr w:rsidR="008B6C73" w14:paraId="3657F312" w14:textId="77777777">
        <w:tc>
          <w:tcPr>
            <w:tcW w:w="4680" w:type="dxa"/>
            <w:tcBorders>
              <w:top w:val="single" w:sz="4" w:space="0" w:color="C8B8E8"/>
              <w:left w:val="single" w:sz="4" w:space="0" w:color="C8B8E8"/>
              <w:bottom w:val="single" w:sz="4" w:space="0" w:color="C8B8E8"/>
              <w:right w:val="single" w:sz="4" w:space="0" w:color="C8B8E8"/>
            </w:tcBorders>
            <w:shd w:val="clear" w:color="auto" w:fill="F5F8FC"/>
            <w:tcMar>
              <w:top w:w="60" w:type="dxa"/>
              <w:left w:w="110" w:type="dxa"/>
              <w:bottom w:w="65" w:type="dxa"/>
              <w:right w:w="110" w:type="dxa"/>
            </w:tcMar>
          </w:tcPr>
          <w:p w14:paraId="44E4C435" w14:textId="77777777" w:rsidR="008B6C73" w:rsidRPr="00BB23BD" w:rsidRDefault="00000000">
            <w:pPr>
              <w:spacing w:after="30"/>
            </w:pPr>
            <w:r w:rsidRPr="00BB23BD">
              <w:rPr>
                <w:rFonts w:ascii="Calibri" w:eastAsia="Calibri" w:hAnsi="Calibri" w:cs="Calibri"/>
                <w:b/>
                <w:bCs/>
                <w:color w:val="6B3FA0"/>
              </w:rPr>
              <w:t>③ Program Design</w:t>
            </w:r>
          </w:p>
          <w:p w14:paraId="17480F5B" w14:textId="77777777" w:rsidR="008B6C73" w:rsidRPr="00BB23BD" w:rsidRDefault="00000000">
            <w:r w:rsidRPr="00BB23BD">
              <w:rPr>
                <w:rFonts w:ascii="Calibri" w:eastAsia="Calibri" w:hAnsi="Calibri" w:cs="Calibri"/>
                <w:color w:val="1A1A1A"/>
              </w:rPr>
              <w:t>Utility runs direct affordability programs — automatic enrollment, categorical eligibility, combined utility discounts — without IOU negotiation.</w:t>
            </w:r>
          </w:p>
        </w:tc>
        <w:tc>
          <w:tcPr>
            <w:tcW w:w="4680" w:type="dxa"/>
            <w:tcBorders>
              <w:top w:val="single" w:sz="4" w:space="0" w:color="C8B8E8"/>
              <w:left w:val="single" w:sz="4" w:space="0" w:color="C8B8E8"/>
              <w:bottom w:val="single" w:sz="4" w:space="0" w:color="C8B8E8"/>
              <w:right w:val="single" w:sz="4" w:space="0" w:color="C8B8E8"/>
            </w:tcBorders>
            <w:shd w:val="clear" w:color="auto" w:fill="EDF4FC"/>
            <w:tcMar>
              <w:top w:w="60" w:type="dxa"/>
              <w:left w:w="110" w:type="dxa"/>
              <w:bottom w:w="65" w:type="dxa"/>
              <w:right w:w="110" w:type="dxa"/>
            </w:tcMar>
          </w:tcPr>
          <w:p w14:paraId="4281D154" w14:textId="77777777" w:rsidR="008B6C73" w:rsidRPr="00BB23BD" w:rsidRDefault="00000000">
            <w:pPr>
              <w:spacing w:after="30"/>
            </w:pPr>
            <w:r w:rsidRPr="00BB23BD">
              <w:rPr>
                <w:rFonts w:ascii="Calibri" w:eastAsia="Calibri" w:hAnsi="Calibri" w:cs="Calibri"/>
                <w:b/>
                <w:bCs/>
                <w:color w:val="6B3FA0"/>
              </w:rPr>
              <w:t>④ Investment Control</w:t>
            </w:r>
          </w:p>
          <w:p w14:paraId="094850FF" w14:textId="77777777" w:rsidR="008B6C73" w:rsidRPr="00BB23BD" w:rsidRDefault="00000000">
            <w:r w:rsidRPr="00BB23BD">
              <w:rPr>
                <w:rFonts w:ascii="Calibri" w:eastAsia="Calibri" w:hAnsi="Calibri" w:cs="Calibri"/>
                <w:color w:val="1A1A1A"/>
              </w:rPr>
              <w:t>City directs capital toward underserved neighborhoods, efficiency upgrades, and clean energy without regulatory delay.</w:t>
            </w:r>
          </w:p>
        </w:tc>
      </w:tr>
    </w:tbl>
    <w:p w14:paraId="6714C85D" w14:textId="77777777" w:rsidR="008B6C73" w:rsidRDefault="008B6C73">
      <w:pPr>
        <w:spacing w:after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"/>
        <w:gridCol w:w="9180"/>
      </w:tblGrid>
      <w:tr w:rsidR="008B6C73" w14:paraId="7EDA16AF" w14:textId="77777777">
        <w:tc>
          <w:tcPr>
            <w:tcW w:w="1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6B3FA0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5774EC" w14:textId="77777777" w:rsidR="008B6C73" w:rsidRDefault="008B6C73"/>
        </w:tc>
        <w:tc>
          <w:tcPr>
            <w:tcW w:w="91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28" w:type="dxa"/>
              <w:left w:w="110" w:type="dxa"/>
              <w:bottom w:w="28" w:type="dxa"/>
              <w:right w:w="0" w:type="dxa"/>
            </w:tcMar>
          </w:tcPr>
          <w:p w14:paraId="6D2D531B" w14:textId="77777777" w:rsidR="008B6C73" w:rsidRDefault="00000000">
            <w:r>
              <w:rPr>
                <w:rFonts w:ascii="Calibri" w:eastAsia="Calibri" w:hAnsi="Calibri" w:cs="Calibri"/>
                <w:b/>
                <w:bCs/>
                <w:color w:val="6B3FA0"/>
                <w:sz w:val="16"/>
                <w:szCs w:val="16"/>
              </w:rPr>
              <w:t>ENABLING CONDITIONS &amp; REPLICATION</w:t>
            </w:r>
          </w:p>
        </w:tc>
      </w:tr>
    </w:tbl>
    <w:p w14:paraId="0FA53CBA" w14:textId="77777777" w:rsidR="008B6C73" w:rsidRDefault="008B6C73">
      <w:pPr>
        <w:spacing w:after="28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8B6C73" w14:paraId="4CF2E1C2" w14:textId="77777777">
        <w:tc>
          <w:tcPr>
            <w:tcW w:w="4680" w:type="dxa"/>
            <w:tcBorders>
              <w:top w:val="single" w:sz="4" w:space="0" w:color="C8B8E8"/>
              <w:left w:val="single" w:sz="4" w:space="0" w:color="C8B8E8"/>
              <w:bottom w:val="single" w:sz="4" w:space="0" w:color="C8B8E8"/>
              <w:right w:val="single" w:sz="4" w:space="0" w:color="C8B8E8"/>
            </w:tcBorders>
            <w:shd w:val="clear" w:color="auto" w:fill="6B3FA0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51175681" w14:textId="77777777" w:rsidR="008B6C73" w:rsidRPr="00BB23BD" w:rsidRDefault="00000000">
            <w:r w:rsidRPr="00BB23BD">
              <w:rPr>
                <w:rFonts w:ascii="Calibri" w:eastAsia="Calibri" w:hAnsi="Calibri" w:cs="Calibri"/>
                <w:b/>
                <w:bCs/>
                <w:color w:val="FFFFFF"/>
              </w:rPr>
              <w:t>What Made It Possible</w:t>
            </w:r>
          </w:p>
        </w:tc>
        <w:tc>
          <w:tcPr>
            <w:tcW w:w="4680" w:type="dxa"/>
            <w:tcBorders>
              <w:top w:val="single" w:sz="4" w:space="0" w:color="C8B8E8"/>
              <w:left w:val="single" w:sz="4" w:space="0" w:color="C8B8E8"/>
              <w:bottom w:val="single" w:sz="4" w:space="0" w:color="C8B8E8"/>
              <w:right w:val="single" w:sz="4" w:space="0" w:color="C8B8E8"/>
            </w:tcBorders>
            <w:shd w:val="clear" w:color="auto" w:fill="6B3FA0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075E6FC7" w14:textId="77777777" w:rsidR="008B6C73" w:rsidRPr="00BB23BD" w:rsidRDefault="00000000">
            <w:r w:rsidRPr="00BB23BD">
              <w:rPr>
                <w:rFonts w:ascii="Calibri" w:eastAsia="Calibri" w:hAnsi="Calibri" w:cs="Calibri"/>
                <w:b/>
                <w:bCs/>
                <w:color w:val="FFFFFF"/>
              </w:rPr>
              <w:t>Who Can Replicate This</w:t>
            </w:r>
          </w:p>
        </w:tc>
      </w:tr>
      <w:tr w:rsidR="008B6C73" w14:paraId="0269F7C9" w14:textId="77777777">
        <w:tc>
          <w:tcPr>
            <w:tcW w:w="4680" w:type="dxa"/>
            <w:tcBorders>
              <w:top w:val="single" w:sz="4" w:space="0" w:color="C8B8E8"/>
              <w:left w:val="single" w:sz="4" w:space="0" w:color="C8B8E8"/>
              <w:bottom w:val="single" w:sz="4" w:space="0" w:color="C8B8E8"/>
              <w:right w:val="single" w:sz="4" w:space="0" w:color="C8B8E8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110" w:type="dxa"/>
            </w:tcMar>
          </w:tcPr>
          <w:p w14:paraId="1CCBBFB9" w14:textId="77777777" w:rsidR="008B6C73" w:rsidRPr="00BB23BD" w:rsidRDefault="00000000">
            <w:r w:rsidRPr="00BB23BD">
              <w:rPr>
                <w:rFonts w:ascii="Calibri" w:eastAsia="Calibri" w:hAnsi="Calibri" w:cs="Calibri"/>
                <w:color w:val="1A1A1A"/>
              </w:rPr>
              <w:t>Home-rule statutory authority (Florida, Colorado, NY) or existing municipal charter power</w:t>
            </w:r>
          </w:p>
        </w:tc>
        <w:tc>
          <w:tcPr>
            <w:tcW w:w="4680" w:type="dxa"/>
            <w:tcBorders>
              <w:top w:val="single" w:sz="4" w:space="0" w:color="C8B8E8"/>
              <w:left w:val="single" w:sz="4" w:space="0" w:color="C8B8E8"/>
              <w:bottom w:val="single" w:sz="4" w:space="0" w:color="C8B8E8"/>
              <w:right w:val="single" w:sz="4" w:space="0" w:color="C8B8E8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110" w:type="dxa"/>
            </w:tcMar>
          </w:tcPr>
          <w:p w14:paraId="4F86D36E" w14:textId="77777777" w:rsidR="008B6C73" w:rsidRPr="00BB23BD" w:rsidRDefault="00000000">
            <w:r w:rsidRPr="00BB23BD">
              <w:rPr>
                <w:rFonts w:ascii="Calibri" w:eastAsia="Calibri" w:hAnsi="Calibri" w:cs="Calibri"/>
                <w:color w:val="1A1A1A"/>
              </w:rPr>
              <w:t>Cities with franchise agreements expiring in the next 3–5 years</w:t>
            </w:r>
          </w:p>
        </w:tc>
      </w:tr>
      <w:tr w:rsidR="008B6C73" w14:paraId="4BBD6D05" w14:textId="77777777">
        <w:tc>
          <w:tcPr>
            <w:tcW w:w="4680" w:type="dxa"/>
            <w:tcBorders>
              <w:top w:val="single" w:sz="4" w:space="0" w:color="C8B8E8"/>
              <w:left w:val="single" w:sz="4" w:space="0" w:color="C8B8E8"/>
              <w:bottom w:val="single" w:sz="4" w:space="0" w:color="C8B8E8"/>
              <w:right w:val="single" w:sz="4" w:space="0" w:color="C8B8E8"/>
            </w:tcBorders>
            <w:shd w:val="clear" w:color="auto" w:fill="F5F8FC"/>
            <w:tcMar>
              <w:top w:w="55" w:type="dxa"/>
              <w:left w:w="110" w:type="dxa"/>
              <w:bottom w:w="55" w:type="dxa"/>
              <w:right w:w="110" w:type="dxa"/>
            </w:tcMar>
          </w:tcPr>
          <w:p w14:paraId="36537ECF" w14:textId="77777777" w:rsidR="008B6C73" w:rsidRPr="00BB23BD" w:rsidRDefault="00000000">
            <w:r w:rsidRPr="00BB23BD">
              <w:rPr>
                <w:rFonts w:ascii="Calibri" w:eastAsia="Calibri" w:hAnsi="Calibri" w:cs="Calibri"/>
                <w:color w:val="1A1A1A"/>
              </w:rPr>
              <w:t>Franchise contract expiration or community referendum (Winter Park: 69% voted yes)</w:t>
            </w:r>
          </w:p>
        </w:tc>
        <w:tc>
          <w:tcPr>
            <w:tcW w:w="4680" w:type="dxa"/>
            <w:tcBorders>
              <w:top w:val="single" w:sz="4" w:space="0" w:color="C8B8E8"/>
              <w:left w:val="single" w:sz="4" w:space="0" w:color="C8B8E8"/>
              <w:bottom w:val="single" w:sz="4" w:space="0" w:color="C8B8E8"/>
              <w:right w:val="single" w:sz="4" w:space="0" w:color="C8B8E8"/>
            </w:tcBorders>
            <w:shd w:val="clear" w:color="auto" w:fill="F5F8FC"/>
            <w:tcMar>
              <w:top w:w="55" w:type="dxa"/>
              <w:left w:w="110" w:type="dxa"/>
              <w:bottom w:w="55" w:type="dxa"/>
              <w:right w:w="110" w:type="dxa"/>
            </w:tcMar>
          </w:tcPr>
          <w:p w14:paraId="3C34AC29" w14:textId="77777777" w:rsidR="008B6C73" w:rsidRPr="00BB23BD" w:rsidRDefault="00000000">
            <w:r w:rsidRPr="00BB23BD">
              <w:rPr>
                <w:rFonts w:ascii="Calibri" w:eastAsia="Calibri" w:hAnsi="Calibri" w:cs="Calibri"/>
                <w:color w:val="1A1A1A"/>
              </w:rPr>
              <w:t>Cities already operating water/sewer utilities with transferable admin capacity</w:t>
            </w:r>
          </w:p>
        </w:tc>
      </w:tr>
      <w:tr w:rsidR="008B6C73" w14:paraId="762A2C2A" w14:textId="77777777">
        <w:tc>
          <w:tcPr>
            <w:tcW w:w="4680" w:type="dxa"/>
            <w:tcBorders>
              <w:top w:val="single" w:sz="4" w:space="0" w:color="C8B8E8"/>
              <w:left w:val="single" w:sz="4" w:space="0" w:color="C8B8E8"/>
              <w:bottom w:val="single" w:sz="4" w:space="0" w:color="C8B8E8"/>
              <w:right w:val="single" w:sz="4" w:space="0" w:color="C8B8E8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110" w:type="dxa"/>
            </w:tcMar>
          </w:tcPr>
          <w:p w14:paraId="3D0C47A3" w14:textId="77777777" w:rsidR="008B6C73" w:rsidRPr="00BB23BD" w:rsidRDefault="00000000">
            <w:r w:rsidRPr="00BB23BD">
              <w:rPr>
                <w:rFonts w:ascii="Calibri" w:eastAsia="Calibri" w:hAnsi="Calibri" w:cs="Calibri"/>
                <w:color w:val="1A1A1A"/>
              </w:rPr>
              <w:t>Political will to withstand IOU opposition and litigation (Boulder spent $30M before pausing)</w:t>
            </w:r>
          </w:p>
        </w:tc>
        <w:tc>
          <w:tcPr>
            <w:tcW w:w="4680" w:type="dxa"/>
            <w:tcBorders>
              <w:top w:val="single" w:sz="4" w:space="0" w:color="C8B8E8"/>
              <w:left w:val="single" w:sz="4" w:space="0" w:color="C8B8E8"/>
              <w:bottom w:val="single" w:sz="4" w:space="0" w:color="C8B8E8"/>
              <w:right w:val="single" w:sz="4" w:space="0" w:color="C8B8E8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110" w:type="dxa"/>
            </w:tcMar>
          </w:tcPr>
          <w:p w14:paraId="1B25047F" w14:textId="77777777" w:rsidR="008B6C73" w:rsidRPr="00BB23BD" w:rsidRDefault="00000000">
            <w:r w:rsidRPr="00BB23BD">
              <w:rPr>
                <w:rFonts w:ascii="Calibri" w:eastAsia="Calibri" w:hAnsi="Calibri" w:cs="Calibri"/>
                <w:color w:val="1A1A1A"/>
              </w:rPr>
              <w:t>Cities with strong political will and community support for public power</w:t>
            </w:r>
          </w:p>
        </w:tc>
      </w:tr>
      <w:tr w:rsidR="008B6C73" w14:paraId="1CE36857" w14:textId="77777777">
        <w:tc>
          <w:tcPr>
            <w:tcW w:w="4680" w:type="dxa"/>
            <w:tcBorders>
              <w:top w:val="single" w:sz="4" w:space="0" w:color="C8B8E8"/>
              <w:left w:val="single" w:sz="4" w:space="0" w:color="C8B8E8"/>
              <w:bottom w:val="single" w:sz="4" w:space="0" w:color="C8B8E8"/>
              <w:right w:val="single" w:sz="4" w:space="0" w:color="C8B8E8"/>
            </w:tcBorders>
            <w:shd w:val="clear" w:color="auto" w:fill="F5F8FC"/>
            <w:tcMar>
              <w:top w:w="55" w:type="dxa"/>
              <w:left w:w="110" w:type="dxa"/>
              <w:bottom w:w="55" w:type="dxa"/>
              <w:right w:w="110" w:type="dxa"/>
            </w:tcMar>
          </w:tcPr>
          <w:p w14:paraId="4AED31A8" w14:textId="77777777" w:rsidR="008B6C73" w:rsidRPr="00BB23BD" w:rsidRDefault="00000000">
            <w:r w:rsidRPr="00BB23BD">
              <w:rPr>
                <w:rFonts w:ascii="Calibri" w:eastAsia="Calibri" w:hAnsi="Calibri" w:cs="Calibri"/>
                <w:color w:val="1A1A1A"/>
              </w:rPr>
              <w:t>Operational partner during transition (Winter Park hired ENCO for 12 years)</w:t>
            </w:r>
          </w:p>
        </w:tc>
        <w:tc>
          <w:tcPr>
            <w:tcW w:w="4680" w:type="dxa"/>
            <w:tcBorders>
              <w:top w:val="single" w:sz="4" w:space="0" w:color="C8B8E8"/>
              <w:left w:val="single" w:sz="4" w:space="0" w:color="C8B8E8"/>
              <w:bottom w:val="single" w:sz="4" w:space="0" w:color="C8B8E8"/>
              <w:right w:val="single" w:sz="4" w:space="0" w:color="C8B8E8"/>
            </w:tcBorders>
            <w:shd w:val="clear" w:color="auto" w:fill="F5F8FC"/>
            <w:tcMar>
              <w:top w:w="55" w:type="dxa"/>
              <w:left w:w="110" w:type="dxa"/>
              <w:bottom w:w="55" w:type="dxa"/>
              <w:right w:w="110" w:type="dxa"/>
            </w:tcMar>
          </w:tcPr>
          <w:p w14:paraId="0896D12D" w14:textId="77777777" w:rsidR="008B6C73" w:rsidRPr="00BB23BD" w:rsidRDefault="00000000">
            <w:r w:rsidRPr="00BB23BD">
              <w:rPr>
                <w:rFonts w:ascii="Calibri" w:eastAsia="Calibri" w:hAnsi="Calibri" w:cs="Calibri"/>
                <w:color w:val="1A1A1A"/>
              </w:rPr>
              <w:t>Cities in states with existing public utility precedent (NYPA, LIPA in NY; COUs in CA)</w:t>
            </w:r>
          </w:p>
        </w:tc>
      </w:tr>
    </w:tbl>
    <w:p w14:paraId="5B26A5E6" w14:textId="77777777" w:rsidR="008B6C73" w:rsidRDefault="008B6C73">
      <w:pPr>
        <w:spacing w:after="30"/>
      </w:pPr>
    </w:p>
    <w:p w14:paraId="74B74FA7" w14:textId="77777777" w:rsidR="008B6C73" w:rsidRDefault="00000000">
      <w:r>
        <w:br w:type="page"/>
      </w:r>
    </w:p>
    <w:sectPr w:rsidR="008B6C73">
      <w:pgSz w:w="12240" w:h="15840"/>
      <w:pgMar w:top="500" w:right="600" w:bottom="500" w:left="6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5C87D26"/>
    <w:multiLevelType w:val="hybridMultilevel"/>
    <w:tmpl w:val="E0E8E45E"/>
    <w:lvl w:ilvl="0" w:tplc="88128A0C">
      <w:start w:val="1"/>
      <w:numFmt w:val="bullet"/>
      <w:lvlText w:val="●"/>
      <w:lvlJc w:val="left"/>
      <w:pPr>
        <w:ind w:left="720" w:hanging="360"/>
      </w:pPr>
    </w:lvl>
    <w:lvl w:ilvl="1" w:tplc="768A1AAC">
      <w:start w:val="1"/>
      <w:numFmt w:val="bullet"/>
      <w:lvlText w:val="○"/>
      <w:lvlJc w:val="left"/>
      <w:pPr>
        <w:ind w:left="1440" w:hanging="360"/>
      </w:pPr>
    </w:lvl>
    <w:lvl w:ilvl="2" w:tplc="B6D0F082">
      <w:start w:val="1"/>
      <w:numFmt w:val="bullet"/>
      <w:lvlText w:val="■"/>
      <w:lvlJc w:val="left"/>
      <w:pPr>
        <w:ind w:left="2160" w:hanging="360"/>
      </w:pPr>
    </w:lvl>
    <w:lvl w:ilvl="3" w:tplc="5DCE2D70">
      <w:start w:val="1"/>
      <w:numFmt w:val="bullet"/>
      <w:lvlText w:val="●"/>
      <w:lvlJc w:val="left"/>
      <w:pPr>
        <w:ind w:left="2880" w:hanging="360"/>
      </w:pPr>
    </w:lvl>
    <w:lvl w:ilvl="4" w:tplc="8AEE3AE0">
      <w:start w:val="1"/>
      <w:numFmt w:val="bullet"/>
      <w:lvlText w:val="○"/>
      <w:lvlJc w:val="left"/>
      <w:pPr>
        <w:ind w:left="3600" w:hanging="360"/>
      </w:pPr>
    </w:lvl>
    <w:lvl w:ilvl="5" w:tplc="07F21F5A">
      <w:start w:val="1"/>
      <w:numFmt w:val="bullet"/>
      <w:lvlText w:val="■"/>
      <w:lvlJc w:val="left"/>
      <w:pPr>
        <w:ind w:left="4320" w:hanging="360"/>
      </w:pPr>
    </w:lvl>
    <w:lvl w:ilvl="6" w:tplc="033EBC74">
      <w:start w:val="1"/>
      <w:numFmt w:val="bullet"/>
      <w:lvlText w:val="●"/>
      <w:lvlJc w:val="left"/>
      <w:pPr>
        <w:ind w:left="5040" w:hanging="360"/>
      </w:pPr>
    </w:lvl>
    <w:lvl w:ilvl="7" w:tplc="551EE14E">
      <w:start w:val="1"/>
      <w:numFmt w:val="bullet"/>
      <w:lvlText w:val="●"/>
      <w:lvlJc w:val="left"/>
      <w:pPr>
        <w:ind w:left="5760" w:hanging="360"/>
      </w:pPr>
    </w:lvl>
    <w:lvl w:ilvl="8" w:tplc="22A6AA80">
      <w:start w:val="1"/>
      <w:numFmt w:val="bullet"/>
      <w:lvlText w:val="●"/>
      <w:lvlJc w:val="left"/>
      <w:pPr>
        <w:ind w:left="6480" w:hanging="360"/>
      </w:pPr>
    </w:lvl>
  </w:abstractNum>
  <w:num w:numId="1" w16cid:durableId="129768721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3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C73"/>
    <w:rsid w:val="0005253A"/>
    <w:rsid w:val="000B5DC1"/>
    <w:rsid w:val="003B232E"/>
    <w:rsid w:val="003B72B5"/>
    <w:rsid w:val="005A46B9"/>
    <w:rsid w:val="00791327"/>
    <w:rsid w:val="008B6C73"/>
    <w:rsid w:val="00A71799"/>
    <w:rsid w:val="00BB23BD"/>
    <w:rsid w:val="00D92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C5C03BD"/>
  <w15:docId w15:val="{DF4EEE37-1579-7F42-99F4-150BE56A5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389</Words>
  <Characters>2218</Characters>
  <Application>Microsoft Office Word</Application>
  <DocSecurity>0</DocSecurity>
  <Lines>18</Lines>
  <Paragraphs>5</Paragraphs>
  <ScaleCrop>false</ScaleCrop>
  <Company/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nkd2128</cp:lastModifiedBy>
  <cp:revision>2</cp:revision>
  <dcterms:created xsi:type="dcterms:W3CDTF">2026-07-11T01:45:00Z</dcterms:created>
  <dcterms:modified xsi:type="dcterms:W3CDTF">2026-07-11T01:45:00Z</dcterms:modified>
</cp:coreProperties>
</file>