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8B6C73" w14:paraId="1DF79107" w14:textId="77777777">
        <w:tc>
          <w:tcPr>
            <w:tcW w:w="0" w:type="auto"/>
            <w:tcBorders>
              <w:top w:val="none" w:sz="0" w:space="0" w:color="FFFFFF"/>
              <w:left w:val="none" w:sz="0" w:space="0" w:color="FFFFFF"/>
              <w:bottom w:val="none" w:sz="0" w:space="0" w:color="FFFFFF"/>
              <w:right w:val="none" w:sz="0" w:space="0" w:color="FFFFFF"/>
            </w:tcBorders>
            <w:shd w:val="clear" w:color="auto" w:fill="1B3A5C"/>
            <w:tcMar>
              <w:top w:w="20" w:type="dxa"/>
              <w:left w:w="160" w:type="dxa"/>
              <w:bottom w:w="10" w:type="dxa"/>
              <w:right w:w="160" w:type="dxa"/>
            </w:tcMar>
          </w:tcPr>
          <w:p w14:paraId="17150F45" w14:textId="77777777" w:rsidR="008B6C73" w:rsidRDefault="00000000">
            <w:r>
              <w:rPr>
                <w:rFonts w:ascii="Calibri" w:eastAsia="Calibri" w:hAnsi="Calibri" w:cs="Calibri"/>
                <w:b/>
                <w:bCs/>
                <w:color w:val="FFFFFF"/>
                <w:sz w:val="46"/>
                <w:szCs w:val="46"/>
              </w:rPr>
              <w:t>My Energy Portal</w:t>
            </w:r>
          </w:p>
        </w:tc>
      </w:tr>
      <w:tr w:rsidR="008B6C73" w14:paraId="760E4994" w14:textId="77777777">
        <w:tc>
          <w:tcPr>
            <w:tcW w:w="0" w:type="auto"/>
            <w:tcBorders>
              <w:top w:val="none" w:sz="0" w:space="0" w:color="FFFFFF"/>
              <w:left w:val="none" w:sz="0" w:space="0" w:color="FFFFFF"/>
              <w:bottom w:val="none" w:sz="0" w:space="0" w:color="FFFFFF"/>
              <w:right w:val="none" w:sz="0" w:space="0" w:color="FFFFFF"/>
            </w:tcBorders>
            <w:shd w:val="clear" w:color="auto" w:fill="1B3A5C"/>
            <w:tcMar>
              <w:top w:w="4" w:type="dxa"/>
              <w:left w:w="160" w:type="dxa"/>
              <w:bottom w:w="4" w:type="dxa"/>
              <w:right w:w="160" w:type="dxa"/>
            </w:tcMar>
          </w:tcPr>
          <w:p w14:paraId="3D836D8B" w14:textId="77777777" w:rsidR="008B6C73" w:rsidRDefault="00000000">
            <w:r>
              <w:rPr>
                <w:rFonts w:ascii="Calibri" w:eastAsia="Calibri" w:hAnsi="Calibri" w:cs="Calibri"/>
                <w:b/>
                <w:bCs/>
                <w:color w:val="D8F0ED"/>
                <w:sz w:val="16"/>
                <w:szCs w:val="16"/>
              </w:rPr>
              <w:t>Mayor's Office of Climate &amp; Environmental Justice (</w:t>
            </w:r>
            <w:proofErr w:type="gramStart"/>
            <w:r>
              <w:rPr>
                <w:rFonts w:ascii="Calibri" w:eastAsia="Calibri" w:hAnsi="Calibri" w:cs="Calibri"/>
                <w:b/>
                <w:bCs/>
                <w:color w:val="D8F0ED"/>
                <w:sz w:val="16"/>
                <w:szCs w:val="16"/>
              </w:rPr>
              <w:t>MOCEJ)  ·</w:t>
            </w:r>
            <w:proofErr w:type="gramEnd"/>
            <w:r>
              <w:rPr>
                <w:rFonts w:ascii="Calibri" w:eastAsia="Calibri" w:hAnsi="Calibri" w:cs="Calibri"/>
                <w:b/>
                <w:bCs/>
                <w:color w:val="D8F0ED"/>
                <w:sz w:val="16"/>
                <w:szCs w:val="16"/>
              </w:rPr>
              <w:t xml:space="preserve">  NYC </w:t>
            </w:r>
            <w:proofErr w:type="gramStart"/>
            <w:r>
              <w:rPr>
                <w:rFonts w:ascii="Calibri" w:eastAsia="Calibri" w:hAnsi="Calibri" w:cs="Calibri"/>
                <w:b/>
                <w:bCs/>
                <w:color w:val="D8F0ED"/>
                <w:sz w:val="16"/>
                <w:szCs w:val="16"/>
              </w:rPr>
              <w:t>Accelerator  ·</w:t>
            </w:r>
            <w:proofErr w:type="gramEnd"/>
            <w:r>
              <w:rPr>
                <w:rFonts w:ascii="Calibri" w:eastAsia="Calibri" w:hAnsi="Calibri" w:cs="Calibri"/>
                <w:b/>
                <w:bCs/>
                <w:color w:val="D8F0ED"/>
                <w:sz w:val="16"/>
                <w:szCs w:val="16"/>
              </w:rPr>
              <w:t xml:space="preserve">  New York City, NY</w:t>
            </w:r>
          </w:p>
        </w:tc>
      </w:tr>
      <w:tr w:rsidR="008B6C73" w14:paraId="651F761D" w14:textId="77777777">
        <w:tc>
          <w:tcPr>
            <w:tcW w:w="0" w:type="auto"/>
            <w:tcBorders>
              <w:top w:val="none" w:sz="0" w:space="0" w:color="FFFFFF"/>
              <w:left w:val="none" w:sz="0" w:space="0" w:color="FFFFFF"/>
              <w:bottom w:val="none" w:sz="0" w:space="0" w:color="FFFFFF"/>
              <w:right w:val="none" w:sz="0" w:space="0" w:color="FFFFFF"/>
            </w:tcBorders>
            <w:shd w:val="clear" w:color="auto" w:fill="163151"/>
            <w:tcMar>
              <w:top w:w="40" w:type="dxa"/>
              <w:left w:w="160" w:type="dxa"/>
              <w:bottom w:w="40" w:type="dxa"/>
              <w:right w:w="160" w:type="dxa"/>
            </w:tcMar>
          </w:tcPr>
          <w:p w14:paraId="1D29BC09" w14:textId="77777777" w:rsidR="008B6C73" w:rsidRDefault="00000000">
            <w:r>
              <w:rPr>
                <w:rFonts w:ascii="Calibri" w:eastAsia="Calibri" w:hAnsi="Calibri" w:cs="Calibri"/>
                <w:b/>
                <w:bCs/>
                <w:color w:val="AACFE8"/>
                <w:sz w:val="15"/>
                <w:szCs w:val="15"/>
              </w:rPr>
              <w:t xml:space="preserve">Digital Front Door for Energy </w:t>
            </w:r>
            <w:proofErr w:type="gramStart"/>
            <w:r>
              <w:rPr>
                <w:rFonts w:ascii="Calibri" w:eastAsia="Calibri" w:hAnsi="Calibri" w:cs="Calibri"/>
                <w:b/>
                <w:bCs/>
                <w:color w:val="AACFE8"/>
                <w:sz w:val="15"/>
                <w:szCs w:val="15"/>
              </w:rPr>
              <w:t>Retrofits  ·</w:t>
            </w:r>
            <w:proofErr w:type="gramEnd"/>
            <w:r>
              <w:rPr>
                <w:rFonts w:ascii="Calibri" w:eastAsia="Calibri" w:hAnsi="Calibri" w:cs="Calibri"/>
                <w:b/>
                <w:bCs/>
                <w:color w:val="AACFE8"/>
                <w:sz w:val="15"/>
                <w:szCs w:val="15"/>
              </w:rPr>
              <w:t xml:space="preserve">  LL97-</w:t>
            </w:r>
            <w:proofErr w:type="gramStart"/>
            <w:r>
              <w:rPr>
                <w:rFonts w:ascii="Calibri" w:eastAsia="Calibri" w:hAnsi="Calibri" w:cs="Calibri"/>
                <w:b/>
                <w:bCs/>
                <w:color w:val="AACFE8"/>
                <w:sz w:val="15"/>
                <w:szCs w:val="15"/>
              </w:rPr>
              <w:t>Aligned  ·</w:t>
            </w:r>
            <w:proofErr w:type="gramEnd"/>
            <w:r>
              <w:rPr>
                <w:rFonts w:ascii="Calibri" w:eastAsia="Calibri" w:hAnsi="Calibri" w:cs="Calibri"/>
                <w:b/>
                <w:bCs/>
                <w:color w:val="AACFE8"/>
                <w:sz w:val="15"/>
                <w:szCs w:val="15"/>
              </w:rPr>
              <w:t xml:space="preserve">  18,200 Buildings Engaged via </w:t>
            </w:r>
            <w:proofErr w:type="gramStart"/>
            <w:r>
              <w:rPr>
                <w:rFonts w:ascii="Calibri" w:eastAsia="Calibri" w:hAnsi="Calibri" w:cs="Calibri"/>
                <w:b/>
                <w:bCs/>
                <w:color w:val="AACFE8"/>
                <w:sz w:val="15"/>
                <w:szCs w:val="15"/>
              </w:rPr>
              <w:t>Accelerator  ·</w:t>
            </w:r>
            <w:proofErr w:type="gramEnd"/>
            <w:r>
              <w:rPr>
                <w:rFonts w:ascii="Calibri" w:eastAsia="Calibri" w:hAnsi="Calibri" w:cs="Calibri"/>
                <w:b/>
                <w:bCs/>
                <w:color w:val="AACFE8"/>
                <w:sz w:val="15"/>
                <w:szCs w:val="15"/>
              </w:rPr>
              <w:t xml:space="preserve">  No State Legislation Required</w:t>
            </w:r>
          </w:p>
        </w:tc>
      </w:tr>
    </w:tbl>
    <w:p w14:paraId="2D4962FB" w14:textId="77777777" w:rsidR="008B6C73" w:rsidRDefault="008B6C73">
      <w:pPr>
        <w:pBdr>
          <w:bottom w:val="single" w:sz="6" w:space="1" w:color="C0D6EA"/>
        </w:pBdr>
      </w:pPr>
    </w:p>
    <w:p w14:paraId="7366FED1" w14:textId="77777777" w:rsidR="008B6C73" w:rsidRDefault="008B6C73">
      <w:pPr>
        <w:spacing w:after="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0975DBA0"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514A7B48"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31684D9A" w14:textId="77777777" w:rsidR="008B6C73" w:rsidRDefault="00000000">
            <w:r>
              <w:rPr>
                <w:rFonts w:ascii="Calibri" w:eastAsia="Calibri" w:hAnsi="Calibri" w:cs="Calibri"/>
                <w:b/>
                <w:bCs/>
                <w:color w:val="2C5F8A"/>
                <w:sz w:val="16"/>
                <w:szCs w:val="16"/>
              </w:rPr>
              <w:t>WHAT IS IT?</w:t>
            </w:r>
          </w:p>
        </w:tc>
      </w:tr>
    </w:tbl>
    <w:p w14:paraId="097731F7" w14:textId="77777777" w:rsidR="008B6C73" w:rsidRDefault="008B6C73">
      <w:pPr>
        <w:spacing w:after="25"/>
      </w:pPr>
    </w:p>
    <w:p w14:paraId="3CC483FB" w14:textId="77777777" w:rsidR="008B6C73" w:rsidRDefault="00000000">
      <w:r>
        <w:rPr>
          <w:rFonts w:ascii="Calibri" w:eastAsia="Calibri" w:hAnsi="Calibri" w:cs="Calibri"/>
          <w:color w:val="1A1A1A"/>
          <w:sz w:val="16"/>
          <w:szCs w:val="16"/>
        </w:rPr>
        <w:t>My Energy Portal is New York City's centralized digital platform that helps residents, homeowners, small landlords, and multifamily property managers plan, prioritize, and manage home energy-efficiency upgrades. Developed by the Mayor's Office of Climate &amp; Environmental Justice (MOCEJ) in partnership with NYC Accelerator, the portal serves as the city's digital front door for energy-efficiency programs. It provides tailored recommendations based on building type, estimated savings, available incentives from NYSERDA, Con Edison, and National Grid, and qualified contractors. The platform does not process applications directly — it guides users through complex retrofit decisions and connects them to implementing agencies and contractors. No state legislation was required. Formal evaluation metrics for My Energy Portal have not yet been published; outcomes are tracked through NYC Accelerator's broader program reporting.</w:t>
      </w:r>
    </w:p>
    <w:p w14:paraId="5A081750"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53330ADC"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03733DD2"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77174806" w14:textId="77777777" w:rsidR="008B6C73" w:rsidRDefault="00000000">
            <w:r>
              <w:rPr>
                <w:rFonts w:ascii="Calibri" w:eastAsia="Calibri" w:hAnsi="Calibri" w:cs="Calibri"/>
                <w:b/>
                <w:bCs/>
                <w:color w:val="2C5F8A"/>
                <w:sz w:val="16"/>
                <w:szCs w:val="16"/>
              </w:rPr>
              <w:t>EVIDENCE HIGHLIGHTS</w:t>
            </w:r>
          </w:p>
        </w:tc>
      </w:tr>
    </w:tbl>
    <w:p w14:paraId="68347D59"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7060"/>
      </w:tblGrid>
      <w:tr w:rsidR="008B6C73" w14:paraId="0D84F05E" w14:textId="77777777">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40B9C0F5" w14:textId="77777777" w:rsidR="008B6C73" w:rsidRDefault="00000000">
            <w:r>
              <w:rPr>
                <w:rFonts w:ascii="Calibri" w:eastAsia="Calibri" w:hAnsi="Calibri" w:cs="Calibri"/>
                <w:b/>
                <w:bCs/>
                <w:color w:val="1B3A5C"/>
                <w:sz w:val="16"/>
                <w:szCs w:val="16"/>
              </w:rPr>
              <w:t>Platform Role</w:t>
            </w:r>
          </w:p>
        </w:tc>
        <w:tc>
          <w:tcPr>
            <w:tcW w:w="706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312C59FC" w14:textId="77777777" w:rsidR="008B6C73" w:rsidRDefault="00000000">
            <w:r>
              <w:rPr>
                <w:rFonts w:ascii="Calibri" w:eastAsia="Calibri" w:hAnsi="Calibri" w:cs="Calibri"/>
                <w:color w:val="1A1A1A"/>
                <w:sz w:val="16"/>
                <w:szCs w:val="16"/>
              </w:rPr>
              <w:t>Digital front door for home energy-efficiency upgrades — tailored recommendations, incentive listings, and contractor connections; does not process applications directly</w:t>
            </w:r>
          </w:p>
        </w:tc>
      </w:tr>
      <w:tr w:rsidR="008B6C73" w14:paraId="09AFDA10" w14:textId="77777777">
        <w:tc>
          <w:tcPr>
            <w:tcW w:w="2300" w:type="dxa"/>
            <w:tcBorders>
              <w:top w:val="single" w:sz="4" w:space="0" w:color="C0D6EA"/>
              <w:left w:val="single" w:sz="4" w:space="0" w:color="C0D6EA"/>
              <w:bottom w:val="single" w:sz="4" w:space="0" w:color="C0D6EA"/>
              <w:right w:val="single" w:sz="4" w:space="0" w:color="C0D6EA"/>
            </w:tcBorders>
            <w:shd w:val="clear" w:color="auto" w:fill="C9DCEF"/>
            <w:tcMar>
              <w:top w:w="55" w:type="dxa"/>
              <w:left w:w="100" w:type="dxa"/>
              <w:bottom w:w="55" w:type="dxa"/>
              <w:right w:w="100" w:type="dxa"/>
            </w:tcMar>
          </w:tcPr>
          <w:p w14:paraId="4005F521" w14:textId="77777777" w:rsidR="008B6C73" w:rsidRDefault="00000000">
            <w:r>
              <w:rPr>
                <w:rFonts w:ascii="Calibri" w:eastAsia="Calibri" w:hAnsi="Calibri" w:cs="Calibri"/>
                <w:b/>
                <w:bCs/>
                <w:color w:val="1B3A5C"/>
                <w:sz w:val="16"/>
                <w:szCs w:val="16"/>
              </w:rPr>
              <w:t>Buildings Engaged</w:t>
            </w:r>
          </w:p>
        </w:tc>
        <w:tc>
          <w:tcPr>
            <w:tcW w:w="706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00" w:type="dxa"/>
            </w:tcMar>
          </w:tcPr>
          <w:p w14:paraId="3F99C88F" w14:textId="77777777" w:rsidR="008B6C73" w:rsidRDefault="00000000">
            <w:r>
              <w:rPr>
                <w:rFonts w:ascii="Calibri" w:eastAsia="Calibri" w:hAnsi="Calibri" w:cs="Calibri"/>
                <w:color w:val="1A1A1A"/>
                <w:sz w:val="16"/>
                <w:szCs w:val="16"/>
              </w:rPr>
              <w:t>NYC Accelerator engaged 18,200 buildings as of May 2024, including 9,024 LL97-covered buildings</w:t>
            </w:r>
          </w:p>
        </w:tc>
      </w:tr>
      <w:tr w:rsidR="008B6C73" w14:paraId="58FDDFBE" w14:textId="77777777">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3A4D4F8F" w14:textId="77777777" w:rsidR="008B6C73" w:rsidRDefault="00000000">
            <w:r>
              <w:rPr>
                <w:rFonts w:ascii="Calibri" w:eastAsia="Calibri" w:hAnsi="Calibri" w:cs="Calibri"/>
                <w:b/>
                <w:bCs/>
                <w:color w:val="1B3A5C"/>
                <w:sz w:val="16"/>
                <w:szCs w:val="16"/>
              </w:rPr>
              <w:t>Incentive Coverage</w:t>
            </w:r>
          </w:p>
        </w:tc>
        <w:tc>
          <w:tcPr>
            <w:tcW w:w="706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42F2002F" w14:textId="77777777" w:rsidR="008B6C73" w:rsidRDefault="00000000">
            <w:r>
              <w:rPr>
                <w:rFonts w:ascii="Calibri" w:eastAsia="Calibri" w:hAnsi="Calibri" w:cs="Calibri"/>
                <w:color w:val="1A1A1A"/>
                <w:sz w:val="16"/>
                <w:szCs w:val="16"/>
              </w:rPr>
              <w:t>Aggregates incentives from NYSERDA, Con Edison, and National Grid into a single interface</w:t>
            </w:r>
          </w:p>
        </w:tc>
      </w:tr>
      <w:tr w:rsidR="008B6C73" w14:paraId="2F45E62E" w14:textId="77777777">
        <w:tc>
          <w:tcPr>
            <w:tcW w:w="2300" w:type="dxa"/>
            <w:tcBorders>
              <w:top w:val="single" w:sz="4" w:space="0" w:color="C0D6EA"/>
              <w:left w:val="single" w:sz="4" w:space="0" w:color="C0D6EA"/>
              <w:bottom w:val="single" w:sz="4" w:space="0" w:color="C0D6EA"/>
              <w:right w:val="single" w:sz="4" w:space="0" w:color="C0D6EA"/>
            </w:tcBorders>
            <w:shd w:val="clear" w:color="auto" w:fill="C9DCEF"/>
            <w:tcMar>
              <w:top w:w="55" w:type="dxa"/>
              <w:left w:w="100" w:type="dxa"/>
              <w:bottom w:w="55" w:type="dxa"/>
              <w:right w:w="100" w:type="dxa"/>
            </w:tcMar>
          </w:tcPr>
          <w:p w14:paraId="1E7D5F9B" w14:textId="77777777" w:rsidR="008B6C73" w:rsidRDefault="00000000">
            <w:r>
              <w:rPr>
                <w:rFonts w:ascii="Calibri" w:eastAsia="Calibri" w:hAnsi="Calibri" w:cs="Calibri"/>
                <w:b/>
                <w:bCs/>
                <w:color w:val="1B3A5C"/>
                <w:sz w:val="16"/>
                <w:szCs w:val="16"/>
              </w:rPr>
              <w:t>Target Users</w:t>
            </w:r>
          </w:p>
        </w:tc>
        <w:tc>
          <w:tcPr>
            <w:tcW w:w="706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00" w:type="dxa"/>
            </w:tcMar>
          </w:tcPr>
          <w:p w14:paraId="4AC98025" w14:textId="77777777" w:rsidR="008B6C73" w:rsidRDefault="00000000">
            <w:r>
              <w:rPr>
                <w:rFonts w:ascii="Calibri" w:eastAsia="Calibri" w:hAnsi="Calibri" w:cs="Calibri"/>
                <w:color w:val="1A1A1A"/>
                <w:sz w:val="16"/>
                <w:szCs w:val="16"/>
              </w:rPr>
              <w:t>Homeowners, small landlords, and multifamily property managers seeking retrofit pathways and incentive information</w:t>
            </w:r>
          </w:p>
        </w:tc>
      </w:tr>
      <w:tr w:rsidR="008B6C73" w14:paraId="5F96B870" w14:textId="77777777">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279C4B47" w14:textId="77777777" w:rsidR="008B6C73" w:rsidRDefault="00000000">
            <w:r>
              <w:rPr>
                <w:rFonts w:ascii="Calibri" w:eastAsia="Calibri" w:hAnsi="Calibri" w:cs="Calibri"/>
                <w:b/>
                <w:bCs/>
                <w:color w:val="1B3A5C"/>
                <w:sz w:val="16"/>
                <w:szCs w:val="16"/>
              </w:rPr>
              <w:t>Evaluation Status</w:t>
            </w:r>
          </w:p>
        </w:tc>
        <w:tc>
          <w:tcPr>
            <w:tcW w:w="706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3200B118" w14:textId="77777777" w:rsidR="008B6C73" w:rsidRDefault="00000000">
            <w:r>
              <w:rPr>
                <w:rFonts w:ascii="Calibri" w:eastAsia="Calibri" w:hAnsi="Calibri" w:cs="Calibri"/>
                <w:color w:val="1A1A1A"/>
                <w:sz w:val="16"/>
                <w:szCs w:val="16"/>
              </w:rPr>
              <w:t>Formal metrics not yet published; outcomes tracked through NYC Accelerator's broader program reporting</w:t>
            </w:r>
          </w:p>
        </w:tc>
      </w:tr>
      <w:tr w:rsidR="008B6C73" w14:paraId="5751EE21" w14:textId="77777777">
        <w:tc>
          <w:tcPr>
            <w:tcW w:w="2300" w:type="dxa"/>
            <w:tcBorders>
              <w:top w:val="single" w:sz="4" w:space="0" w:color="C0D6EA"/>
              <w:left w:val="single" w:sz="4" w:space="0" w:color="C0D6EA"/>
              <w:bottom w:val="single" w:sz="4" w:space="0" w:color="C0D6EA"/>
              <w:right w:val="single" w:sz="4" w:space="0" w:color="C0D6EA"/>
            </w:tcBorders>
            <w:shd w:val="clear" w:color="auto" w:fill="C9DCEF"/>
            <w:tcMar>
              <w:top w:w="55" w:type="dxa"/>
              <w:left w:w="100" w:type="dxa"/>
              <w:bottom w:w="55" w:type="dxa"/>
              <w:right w:w="100" w:type="dxa"/>
            </w:tcMar>
          </w:tcPr>
          <w:p w14:paraId="342E8EE8" w14:textId="77777777" w:rsidR="008B6C73" w:rsidRDefault="00000000">
            <w:r>
              <w:rPr>
                <w:rFonts w:ascii="Calibri" w:eastAsia="Calibri" w:hAnsi="Calibri" w:cs="Calibri"/>
                <w:b/>
                <w:bCs/>
                <w:color w:val="1B3A5C"/>
                <w:sz w:val="16"/>
                <w:szCs w:val="16"/>
              </w:rPr>
              <w:t>Enabling Framework</w:t>
            </w:r>
          </w:p>
        </w:tc>
        <w:tc>
          <w:tcPr>
            <w:tcW w:w="706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00" w:type="dxa"/>
            </w:tcMar>
          </w:tcPr>
          <w:p w14:paraId="792D3B89" w14:textId="77777777" w:rsidR="008B6C73" w:rsidRDefault="00000000">
            <w:r>
              <w:rPr>
                <w:rFonts w:ascii="Calibri" w:eastAsia="Calibri" w:hAnsi="Calibri" w:cs="Calibri"/>
                <w:color w:val="1A1A1A"/>
                <w:sz w:val="16"/>
                <w:szCs w:val="16"/>
              </w:rPr>
              <w:t>Mayoral climate directives, Local Law 97 compliance pressure, MOCEJ coordination authority, NYC Accelerator infrastructure</w:t>
            </w:r>
          </w:p>
        </w:tc>
      </w:tr>
      <w:tr w:rsidR="008B6C73" w14:paraId="380E086E" w14:textId="77777777">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7D294F76" w14:textId="77777777" w:rsidR="008B6C73" w:rsidRDefault="00000000">
            <w:r>
              <w:rPr>
                <w:rFonts w:ascii="Calibri" w:eastAsia="Calibri" w:hAnsi="Calibri" w:cs="Calibri"/>
                <w:b/>
                <w:bCs/>
                <w:color w:val="1B3A5C"/>
                <w:sz w:val="16"/>
                <w:szCs w:val="16"/>
              </w:rPr>
              <w:t>Funding</w:t>
            </w:r>
          </w:p>
        </w:tc>
        <w:tc>
          <w:tcPr>
            <w:tcW w:w="706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34DA5C27" w14:textId="77777777" w:rsidR="008B6C73" w:rsidRDefault="00000000">
            <w:r>
              <w:rPr>
                <w:rFonts w:ascii="Calibri" w:eastAsia="Calibri" w:hAnsi="Calibri" w:cs="Calibri"/>
                <w:color w:val="1A1A1A"/>
                <w:sz w:val="16"/>
                <w:szCs w:val="16"/>
              </w:rPr>
              <w:t>City climate budgets, NYC Accelerator program funds, and utility-supported technical assistance</w:t>
            </w:r>
          </w:p>
        </w:tc>
      </w:tr>
      <w:tr w:rsidR="008B6C73" w14:paraId="13B1273F" w14:textId="77777777">
        <w:tc>
          <w:tcPr>
            <w:tcW w:w="2300" w:type="dxa"/>
            <w:tcBorders>
              <w:top w:val="single" w:sz="4" w:space="0" w:color="C0D6EA"/>
              <w:left w:val="single" w:sz="4" w:space="0" w:color="C0D6EA"/>
              <w:bottom w:val="single" w:sz="4" w:space="0" w:color="C0D6EA"/>
              <w:right w:val="single" w:sz="4" w:space="0" w:color="C0D6EA"/>
            </w:tcBorders>
            <w:shd w:val="clear" w:color="auto" w:fill="C9DCEF"/>
            <w:tcMar>
              <w:top w:w="55" w:type="dxa"/>
              <w:left w:w="100" w:type="dxa"/>
              <w:bottom w:w="55" w:type="dxa"/>
              <w:right w:w="100" w:type="dxa"/>
            </w:tcMar>
          </w:tcPr>
          <w:p w14:paraId="0D6629A6" w14:textId="77777777" w:rsidR="008B6C73" w:rsidRDefault="00000000">
            <w:r>
              <w:rPr>
                <w:rFonts w:ascii="Calibri" w:eastAsia="Calibri" w:hAnsi="Calibri" w:cs="Calibri"/>
                <w:b/>
                <w:bCs/>
                <w:color w:val="1B3A5C"/>
                <w:sz w:val="16"/>
                <w:szCs w:val="16"/>
              </w:rPr>
              <w:t>Key Partners</w:t>
            </w:r>
          </w:p>
        </w:tc>
        <w:tc>
          <w:tcPr>
            <w:tcW w:w="706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00" w:type="dxa"/>
            </w:tcMar>
          </w:tcPr>
          <w:p w14:paraId="235875EF" w14:textId="77777777" w:rsidR="008B6C73" w:rsidRDefault="00000000">
            <w:r>
              <w:rPr>
                <w:rFonts w:ascii="Calibri" w:eastAsia="Calibri" w:hAnsi="Calibri" w:cs="Calibri"/>
                <w:color w:val="1A1A1A"/>
                <w:sz w:val="16"/>
                <w:szCs w:val="16"/>
              </w:rPr>
              <w:t>MOCEJ, NYC Accelerator, Con Edison, National Grid, NYSERDA, HPD, DOB</w:t>
            </w:r>
          </w:p>
        </w:tc>
      </w:tr>
    </w:tbl>
    <w:p w14:paraId="0E3B5210"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2FB8B7B8"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14C7EFCE"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554769F5" w14:textId="77777777" w:rsidR="008B6C73" w:rsidRDefault="00000000">
            <w:r>
              <w:rPr>
                <w:rFonts w:ascii="Calibri" w:eastAsia="Calibri" w:hAnsi="Calibri" w:cs="Calibri"/>
                <w:b/>
                <w:bCs/>
                <w:color w:val="2C5F8A"/>
                <w:sz w:val="16"/>
                <w:szCs w:val="16"/>
              </w:rPr>
              <w:t>HOW IT WORKS</w:t>
            </w:r>
          </w:p>
        </w:tc>
      </w:tr>
    </w:tbl>
    <w:p w14:paraId="5C6CCDE8"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06DB0E48" w14:textId="77777777">
        <w:tc>
          <w:tcPr>
            <w:tcW w:w="4680" w:type="dxa"/>
            <w:tcBorders>
              <w:top w:val="single" w:sz="4" w:space="0" w:color="C0D6EA"/>
              <w:left w:val="single" w:sz="4" w:space="0" w:color="C0D6EA"/>
              <w:bottom w:val="single" w:sz="4" w:space="0" w:color="C0D6EA"/>
              <w:right w:val="single" w:sz="4" w:space="0" w:color="C0D6EA"/>
            </w:tcBorders>
            <w:shd w:val="clear" w:color="auto" w:fill="EDF4FC"/>
            <w:tcMar>
              <w:top w:w="60" w:type="dxa"/>
              <w:left w:w="110" w:type="dxa"/>
              <w:bottom w:w="65" w:type="dxa"/>
              <w:right w:w="110" w:type="dxa"/>
            </w:tcMar>
          </w:tcPr>
          <w:p w14:paraId="552422BC" w14:textId="77777777" w:rsidR="008B6C73" w:rsidRDefault="00000000">
            <w:pPr>
              <w:spacing w:after="30"/>
            </w:pPr>
            <w:r>
              <w:rPr>
                <w:rFonts w:ascii="Calibri" w:eastAsia="Calibri" w:hAnsi="Calibri" w:cs="Calibri"/>
                <w:b/>
                <w:bCs/>
                <w:color w:val="2C5F8A"/>
                <w:sz w:val="16"/>
                <w:szCs w:val="16"/>
              </w:rPr>
              <w:t>① Tailored Retrofit Recommendations</w:t>
            </w:r>
          </w:p>
          <w:p w14:paraId="66555DE3" w14:textId="77777777" w:rsidR="008B6C73" w:rsidRDefault="00000000">
            <w:r>
              <w:rPr>
                <w:rFonts w:ascii="Calibri" w:eastAsia="Calibri" w:hAnsi="Calibri" w:cs="Calibri"/>
                <w:color w:val="1A1A1A"/>
                <w:sz w:val="16"/>
                <w:szCs w:val="16"/>
              </w:rPr>
              <w:t>Residents and property managers enter building type and basic information to receive tailored recommendations for energy-efficiency upgrades — without navigating multiple agency websites.</w:t>
            </w:r>
          </w:p>
        </w:tc>
        <w:tc>
          <w:tcPr>
            <w:tcW w:w="4680" w:type="dxa"/>
            <w:tcBorders>
              <w:top w:val="single" w:sz="4" w:space="0" w:color="C0D6EA"/>
              <w:left w:val="single" w:sz="4" w:space="0" w:color="C0D6EA"/>
              <w:bottom w:val="single" w:sz="4" w:space="0" w:color="C0D6EA"/>
              <w:right w:val="single" w:sz="4" w:space="0" w:color="C0D6EA"/>
            </w:tcBorders>
            <w:shd w:val="clear" w:color="auto" w:fill="F5F8FC"/>
            <w:tcMar>
              <w:top w:w="60" w:type="dxa"/>
              <w:left w:w="110" w:type="dxa"/>
              <w:bottom w:w="65" w:type="dxa"/>
              <w:right w:w="110" w:type="dxa"/>
            </w:tcMar>
          </w:tcPr>
          <w:p w14:paraId="73FFB443" w14:textId="77777777" w:rsidR="008B6C73" w:rsidRDefault="00000000">
            <w:pPr>
              <w:spacing w:after="30"/>
            </w:pPr>
            <w:r>
              <w:rPr>
                <w:rFonts w:ascii="Calibri" w:eastAsia="Calibri" w:hAnsi="Calibri" w:cs="Calibri"/>
                <w:b/>
                <w:bCs/>
                <w:color w:val="2C5F8A"/>
                <w:sz w:val="16"/>
                <w:szCs w:val="16"/>
              </w:rPr>
              <w:t>② Incentive Aggregation Across Programs</w:t>
            </w:r>
          </w:p>
          <w:p w14:paraId="33B376A3" w14:textId="77777777" w:rsidR="008B6C73" w:rsidRDefault="00000000">
            <w:r>
              <w:rPr>
                <w:rFonts w:ascii="Calibri" w:eastAsia="Calibri" w:hAnsi="Calibri" w:cs="Calibri"/>
                <w:color w:val="1A1A1A"/>
                <w:sz w:val="16"/>
                <w:szCs w:val="16"/>
              </w:rPr>
              <w:t>The portal consolidates incentive information from NYSERDA, Con Edison, and National Grid into a single interface, reducing the information burden that causes residents to miss available funding.</w:t>
            </w:r>
          </w:p>
        </w:tc>
      </w:tr>
      <w:tr w:rsidR="008B6C73" w14:paraId="6988177B" w14:textId="77777777">
        <w:tc>
          <w:tcPr>
            <w:tcW w:w="4680" w:type="dxa"/>
            <w:tcBorders>
              <w:top w:val="single" w:sz="4" w:space="0" w:color="C0D6EA"/>
              <w:left w:val="single" w:sz="4" w:space="0" w:color="C0D6EA"/>
              <w:bottom w:val="single" w:sz="4" w:space="0" w:color="C0D6EA"/>
              <w:right w:val="single" w:sz="4" w:space="0" w:color="C0D6EA"/>
            </w:tcBorders>
            <w:shd w:val="clear" w:color="auto" w:fill="F5F8FC"/>
            <w:tcMar>
              <w:top w:w="60" w:type="dxa"/>
              <w:left w:w="110" w:type="dxa"/>
              <w:bottom w:w="65" w:type="dxa"/>
              <w:right w:w="110" w:type="dxa"/>
            </w:tcMar>
          </w:tcPr>
          <w:p w14:paraId="1CBF8313" w14:textId="77777777" w:rsidR="008B6C73" w:rsidRDefault="00000000">
            <w:pPr>
              <w:spacing w:after="30"/>
            </w:pPr>
            <w:r>
              <w:rPr>
                <w:rFonts w:ascii="Calibri" w:eastAsia="Calibri" w:hAnsi="Calibri" w:cs="Calibri"/>
                <w:b/>
                <w:bCs/>
                <w:color w:val="2C5F8A"/>
                <w:sz w:val="16"/>
                <w:szCs w:val="16"/>
              </w:rPr>
              <w:t>③ LL97 Compliance Navigation</w:t>
            </w:r>
          </w:p>
          <w:p w14:paraId="7A143C1A" w14:textId="77777777" w:rsidR="008B6C73" w:rsidRDefault="00000000">
            <w:r>
              <w:rPr>
                <w:rFonts w:ascii="Calibri" w:eastAsia="Calibri" w:hAnsi="Calibri" w:cs="Calibri"/>
                <w:color w:val="1A1A1A"/>
                <w:sz w:val="16"/>
                <w:szCs w:val="16"/>
              </w:rPr>
              <w:t>For multifamily property managers, the portal provides a pathway to understand LL97 penalty exposure and available retrofit options, connecting users to NYC Accelerator's technical-assistance services.</w:t>
            </w:r>
          </w:p>
        </w:tc>
        <w:tc>
          <w:tcPr>
            <w:tcW w:w="4680" w:type="dxa"/>
            <w:tcBorders>
              <w:top w:val="single" w:sz="4" w:space="0" w:color="C0D6EA"/>
              <w:left w:val="single" w:sz="4" w:space="0" w:color="C0D6EA"/>
              <w:bottom w:val="single" w:sz="4" w:space="0" w:color="C0D6EA"/>
              <w:right w:val="single" w:sz="4" w:space="0" w:color="C0D6EA"/>
            </w:tcBorders>
            <w:shd w:val="clear" w:color="auto" w:fill="EDF4FC"/>
            <w:tcMar>
              <w:top w:w="60" w:type="dxa"/>
              <w:left w:w="110" w:type="dxa"/>
              <w:bottom w:w="65" w:type="dxa"/>
              <w:right w:w="110" w:type="dxa"/>
            </w:tcMar>
          </w:tcPr>
          <w:p w14:paraId="7552A73B" w14:textId="77777777" w:rsidR="008B6C73" w:rsidRDefault="00000000">
            <w:pPr>
              <w:spacing w:after="30"/>
            </w:pPr>
            <w:r>
              <w:rPr>
                <w:rFonts w:ascii="Calibri" w:eastAsia="Calibri" w:hAnsi="Calibri" w:cs="Calibri"/>
                <w:b/>
                <w:bCs/>
                <w:color w:val="2C5F8A"/>
                <w:sz w:val="16"/>
                <w:szCs w:val="16"/>
              </w:rPr>
              <w:t>④ Interagency Coordination</w:t>
            </w:r>
          </w:p>
          <w:p w14:paraId="7EE670F3" w14:textId="77777777" w:rsidR="008B6C73" w:rsidRDefault="00000000">
            <w:r>
              <w:rPr>
                <w:rFonts w:ascii="Calibri" w:eastAsia="Calibri" w:hAnsi="Calibri" w:cs="Calibri"/>
                <w:color w:val="1A1A1A"/>
                <w:sz w:val="16"/>
                <w:szCs w:val="16"/>
              </w:rPr>
              <w:t>MOCEJ coordinates data-sharing across HPD, DOB, and utility partners to maintain up-to-date eligibility logic, incentive listings, and contractor networks. No state legislation required.</w:t>
            </w:r>
          </w:p>
        </w:tc>
      </w:tr>
    </w:tbl>
    <w:p w14:paraId="24F9B79B"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1A241390"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1B057AB2"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3C40B9C8" w14:textId="77777777" w:rsidR="008B6C73" w:rsidRDefault="00000000">
            <w:r>
              <w:rPr>
                <w:rFonts w:ascii="Calibri" w:eastAsia="Calibri" w:hAnsi="Calibri" w:cs="Calibri"/>
                <w:b/>
                <w:bCs/>
                <w:color w:val="2C5F8A"/>
                <w:sz w:val="16"/>
                <w:szCs w:val="16"/>
              </w:rPr>
              <w:t>ENABLING CONDITIONS &amp; REPLICATION</w:t>
            </w:r>
          </w:p>
        </w:tc>
      </w:tr>
    </w:tbl>
    <w:p w14:paraId="750F2FFC"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394FB888" w14:textId="77777777">
        <w:tc>
          <w:tcPr>
            <w:tcW w:w="4680" w:type="dxa"/>
            <w:tcBorders>
              <w:top w:val="single" w:sz="4" w:space="0" w:color="C0D6EA"/>
              <w:left w:val="single" w:sz="4" w:space="0" w:color="C0D6EA"/>
              <w:bottom w:val="single" w:sz="4" w:space="0" w:color="C0D6EA"/>
              <w:right w:val="single" w:sz="4" w:space="0" w:color="C0D6EA"/>
            </w:tcBorders>
            <w:shd w:val="clear" w:color="auto" w:fill="2C5F8A"/>
            <w:tcMar>
              <w:top w:w="60" w:type="dxa"/>
              <w:left w:w="110" w:type="dxa"/>
              <w:bottom w:w="60" w:type="dxa"/>
              <w:right w:w="110" w:type="dxa"/>
            </w:tcMar>
          </w:tcPr>
          <w:p w14:paraId="62B0CAFC" w14:textId="77777777" w:rsidR="008B6C73" w:rsidRDefault="00000000">
            <w:r>
              <w:rPr>
                <w:rFonts w:ascii="Calibri" w:eastAsia="Calibri" w:hAnsi="Calibri" w:cs="Calibri"/>
                <w:b/>
                <w:bCs/>
                <w:color w:val="FFFFFF"/>
                <w:sz w:val="16"/>
                <w:szCs w:val="16"/>
              </w:rPr>
              <w:t>What Made It Possible</w:t>
            </w:r>
          </w:p>
        </w:tc>
        <w:tc>
          <w:tcPr>
            <w:tcW w:w="4680" w:type="dxa"/>
            <w:tcBorders>
              <w:top w:val="single" w:sz="4" w:space="0" w:color="C0D6EA"/>
              <w:left w:val="single" w:sz="4" w:space="0" w:color="C0D6EA"/>
              <w:bottom w:val="single" w:sz="4" w:space="0" w:color="C0D6EA"/>
              <w:right w:val="single" w:sz="4" w:space="0" w:color="C0D6EA"/>
            </w:tcBorders>
            <w:shd w:val="clear" w:color="auto" w:fill="2C5F8A"/>
            <w:tcMar>
              <w:top w:w="60" w:type="dxa"/>
              <w:left w:w="110" w:type="dxa"/>
              <w:bottom w:w="60" w:type="dxa"/>
              <w:right w:w="110" w:type="dxa"/>
            </w:tcMar>
          </w:tcPr>
          <w:p w14:paraId="336809E0" w14:textId="77777777" w:rsidR="008B6C73" w:rsidRDefault="00000000">
            <w:r>
              <w:rPr>
                <w:rFonts w:ascii="Calibri" w:eastAsia="Calibri" w:hAnsi="Calibri" w:cs="Calibri"/>
                <w:b/>
                <w:bCs/>
                <w:color w:val="FFFFFF"/>
                <w:sz w:val="16"/>
                <w:szCs w:val="16"/>
              </w:rPr>
              <w:t>Who Can Replicate This</w:t>
            </w:r>
          </w:p>
        </w:tc>
      </w:tr>
      <w:tr w:rsidR="008B6C73" w14:paraId="75D26B2E" w14:textId="77777777">
        <w:tc>
          <w:tcPr>
            <w:tcW w:w="468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4267114C" w14:textId="77777777" w:rsidR="008B6C73" w:rsidRDefault="00000000">
            <w:r>
              <w:rPr>
                <w:rFonts w:ascii="Calibri" w:eastAsia="Calibri" w:hAnsi="Calibri" w:cs="Calibri"/>
                <w:color w:val="1A1A1A"/>
                <w:sz w:val="16"/>
                <w:szCs w:val="16"/>
              </w:rPr>
              <w:t>Local Law 97 created sustained compliance pressure generating a large, motivated audience of building owners seeking guidance</w:t>
            </w:r>
          </w:p>
        </w:tc>
        <w:tc>
          <w:tcPr>
            <w:tcW w:w="468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070F6CED" w14:textId="77777777" w:rsidR="008B6C73" w:rsidRDefault="00000000">
            <w:r>
              <w:rPr>
                <w:rFonts w:ascii="Calibri" w:eastAsia="Calibri" w:hAnsi="Calibri" w:cs="Calibri"/>
                <w:color w:val="1A1A1A"/>
                <w:sz w:val="16"/>
                <w:szCs w:val="16"/>
              </w:rPr>
              <w:t>Cities with building performance standards should pair compliance mandates with a digital navigation tool</w:t>
            </w:r>
          </w:p>
        </w:tc>
      </w:tr>
      <w:tr w:rsidR="008B6C73" w14:paraId="425FFE81" w14:textId="77777777">
        <w:tc>
          <w:tcPr>
            <w:tcW w:w="468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2466AE90" w14:textId="77777777" w:rsidR="008B6C73" w:rsidRDefault="00000000">
            <w:r>
              <w:rPr>
                <w:rFonts w:ascii="Calibri" w:eastAsia="Calibri" w:hAnsi="Calibri" w:cs="Calibri"/>
                <w:color w:val="1A1A1A"/>
                <w:sz w:val="16"/>
                <w:szCs w:val="16"/>
              </w:rPr>
              <w:t>MOCEJ's authority to coordinate decarbonization tools enabled a unified portal without new legislation</w:t>
            </w:r>
          </w:p>
        </w:tc>
        <w:tc>
          <w:tcPr>
            <w:tcW w:w="468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12437EB1" w14:textId="77777777" w:rsidR="008B6C73" w:rsidRDefault="00000000">
            <w:r>
              <w:rPr>
                <w:rFonts w:ascii="Calibri" w:eastAsia="Calibri" w:hAnsi="Calibri" w:cs="Calibri"/>
                <w:color w:val="1A1A1A"/>
                <w:sz w:val="16"/>
                <w:szCs w:val="16"/>
              </w:rPr>
              <w:t>Cities should designate a lead climate office with cross-agency coordination authority to own a digital retrofit platform</w:t>
            </w:r>
          </w:p>
        </w:tc>
      </w:tr>
      <w:tr w:rsidR="008B6C73" w14:paraId="0ED45F0B" w14:textId="77777777">
        <w:tc>
          <w:tcPr>
            <w:tcW w:w="468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77B36929" w14:textId="77777777" w:rsidR="008B6C73" w:rsidRDefault="00000000">
            <w:r>
              <w:rPr>
                <w:rFonts w:ascii="Calibri" w:eastAsia="Calibri" w:hAnsi="Calibri" w:cs="Calibri"/>
                <w:color w:val="1A1A1A"/>
                <w:sz w:val="16"/>
                <w:szCs w:val="16"/>
              </w:rPr>
              <w:t>NYC Accelerator's existing technical-assistance infrastructure gave the portal an immediate referral pathway</w:t>
            </w:r>
          </w:p>
        </w:tc>
        <w:tc>
          <w:tcPr>
            <w:tcW w:w="468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38D642FB" w14:textId="77777777" w:rsidR="008B6C73" w:rsidRDefault="00000000">
            <w:r>
              <w:rPr>
                <w:rFonts w:ascii="Calibri" w:eastAsia="Calibri" w:hAnsi="Calibri" w:cs="Calibri"/>
                <w:color w:val="1A1A1A"/>
                <w:sz w:val="16"/>
                <w:szCs w:val="16"/>
              </w:rPr>
              <w:t>Cities should build digital portals on top of existing technical-assistance programs — not as standalone tools</w:t>
            </w:r>
          </w:p>
        </w:tc>
      </w:tr>
      <w:tr w:rsidR="008B6C73" w14:paraId="7106F00D" w14:textId="77777777">
        <w:tc>
          <w:tcPr>
            <w:tcW w:w="468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044EE3E5" w14:textId="77777777" w:rsidR="008B6C73" w:rsidRDefault="00000000">
            <w:r>
              <w:rPr>
                <w:rFonts w:ascii="Calibri" w:eastAsia="Calibri" w:hAnsi="Calibri" w:cs="Calibri"/>
                <w:color w:val="1A1A1A"/>
                <w:sz w:val="16"/>
                <w:szCs w:val="16"/>
              </w:rPr>
              <w:t>Utility partners provided incentive data and contractor networks at no additional public cost</w:t>
            </w:r>
          </w:p>
        </w:tc>
        <w:tc>
          <w:tcPr>
            <w:tcW w:w="468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618972D3" w14:textId="77777777" w:rsidR="008B6C73" w:rsidRDefault="00000000">
            <w:r>
              <w:rPr>
                <w:rFonts w:ascii="Calibri" w:eastAsia="Calibri" w:hAnsi="Calibri" w:cs="Calibri"/>
                <w:color w:val="1A1A1A"/>
                <w:sz w:val="16"/>
                <w:szCs w:val="16"/>
              </w:rPr>
              <w:t>Cities should negotiate data-sharing agreements with utilities to populate incentive portals with real-time information</w:t>
            </w:r>
          </w:p>
        </w:tc>
      </w:tr>
      <w:tr w:rsidR="008B6C73" w14:paraId="5713ACA2" w14:textId="77777777">
        <w:tc>
          <w:tcPr>
            <w:tcW w:w="468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3234160A" w14:textId="77777777" w:rsidR="008B6C73" w:rsidRDefault="00000000">
            <w:r>
              <w:rPr>
                <w:rFonts w:ascii="Calibri" w:eastAsia="Calibri" w:hAnsi="Calibri" w:cs="Calibri"/>
                <w:color w:val="1A1A1A"/>
                <w:sz w:val="16"/>
                <w:szCs w:val="16"/>
              </w:rPr>
              <w:t>Interagency data-sharing agreements kept the portal accurate across program rule changes</w:t>
            </w:r>
          </w:p>
        </w:tc>
        <w:tc>
          <w:tcPr>
            <w:tcW w:w="468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133E4617" w14:textId="77777777" w:rsidR="008B6C73" w:rsidRDefault="00000000">
            <w:r>
              <w:rPr>
                <w:rFonts w:ascii="Calibri" w:eastAsia="Calibri" w:hAnsi="Calibri" w:cs="Calibri"/>
                <w:color w:val="1A1A1A"/>
                <w:sz w:val="16"/>
                <w:szCs w:val="16"/>
              </w:rPr>
              <w:t>Cities should establish interagency MOUs to enable shared data flows that keep digital portals current</w:t>
            </w:r>
          </w:p>
        </w:tc>
      </w:tr>
      <w:tr w:rsidR="008B6C73" w14:paraId="6D4839E0" w14:textId="77777777">
        <w:tc>
          <w:tcPr>
            <w:tcW w:w="468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28D2993F" w14:textId="77777777" w:rsidR="008B6C73" w:rsidRDefault="00000000">
            <w:r>
              <w:rPr>
                <w:rFonts w:ascii="Calibri" w:eastAsia="Calibri" w:hAnsi="Calibri" w:cs="Calibri"/>
                <w:color w:val="1A1A1A"/>
                <w:sz w:val="16"/>
                <w:szCs w:val="16"/>
              </w:rPr>
              <w:t>National evidence (ACEEE 2022; DOE Better Buildings 2021) supports the model</w:t>
            </w:r>
          </w:p>
        </w:tc>
        <w:tc>
          <w:tcPr>
            <w:tcW w:w="468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324DC9EC" w14:textId="77777777" w:rsidR="008B6C73" w:rsidRDefault="00000000">
            <w:r>
              <w:rPr>
                <w:rFonts w:ascii="Calibri" w:eastAsia="Calibri" w:hAnsi="Calibri" w:cs="Calibri"/>
                <w:color w:val="1A1A1A"/>
                <w:sz w:val="16"/>
                <w:szCs w:val="16"/>
              </w:rPr>
              <w:t>Cities without formal evaluation data can cite national evidence to justify investment while building local outcome tracking</w:t>
            </w:r>
          </w:p>
        </w:tc>
      </w:tr>
    </w:tbl>
    <w:p w14:paraId="0FEE22FA" w14:textId="77777777" w:rsidR="008B6C73" w:rsidRDefault="008B6C73">
      <w:pPr>
        <w:spacing w:after="30"/>
      </w:pPr>
    </w:p>
    <w:sectPr w:rsidR="008B6C73">
      <w:pgSz w:w="12240" w:h="15840"/>
      <w:pgMar w:top="500" w:right="600" w:bottom="500" w:left="6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87D26"/>
    <w:multiLevelType w:val="hybridMultilevel"/>
    <w:tmpl w:val="E0E8E45E"/>
    <w:lvl w:ilvl="0" w:tplc="88128A0C">
      <w:start w:val="1"/>
      <w:numFmt w:val="bullet"/>
      <w:lvlText w:val="●"/>
      <w:lvlJc w:val="left"/>
      <w:pPr>
        <w:ind w:left="720" w:hanging="360"/>
      </w:pPr>
    </w:lvl>
    <w:lvl w:ilvl="1" w:tplc="768A1AAC">
      <w:start w:val="1"/>
      <w:numFmt w:val="bullet"/>
      <w:lvlText w:val="○"/>
      <w:lvlJc w:val="left"/>
      <w:pPr>
        <w:ind w:left="1440" w:hanging="360"/>
      </w:pPr>
    </w:lvl>
    <w:lvl w:ilvl="2" w:tplc="B6D0F082">
      <w:start w:val="1"/>
      <w:numFmt w:val="bullet"/>
      <w:lvlText w:val="■"/>
      <w:lvlJc w:val="left"/>
      <w:pPr>
        <w:ind w:left="2160" w:hanging="360"/>
      </w:pPr>
    </w:lvl>
    <w:lvl w:ilvl="3" w:tplc="5DCE2D70">
      <w:start w:val="1"/>
      <w:numFmt w:val="bullet"/>
      <w:lvlText w:val="●"/>
      <w:lvlJc w:val="left"/>
      <w:pPr>
        <w:ind w:left="2880" w:hanging="360"/>
      </w:pPr>
    </w:lvl>
    <w:lvl w:ilvl="4" w:tplc="8AEE3AE0">
      <w:start w:val="1"/>
      <w:numFmt w:val="bullet"/>
      <w:lvlText w:val="○"/>
      <w:lvlJc w:val="left"/>
      <w:pPr>
        <w:ind w:left="3600" w:hanging="360"/>
      </w:pPr>
    </w:lvl>
    <w:lvl w:ilvl="5" w:tplc="07F21F5A">
      <w:start w:val="1"/>
      <w:numFmt w:val="bullet"/>
      <w:lvlText w:val="■"/>
      <w:lvlJc w:val="left"/>
      <w:pPr>
        <w:ind w:left="4320" w:hanging="360"/>
      </w:pPr>
    </w:lvl>
    <w:lvl w:ilvl="6" w:tplc="033EBC74">
      <w:start w:val="1"/>
      <w:numFmt w:val="bullet"/>
      <w:lvlText w:val="●"/>
      <w:lvlJc w:val="left"/>
      <w:pPr>
        <w:ind w:left="5040" w:hanging="360"/>
      </w:pPr>
    </w:lvl>
    <w:lvl w:ilvl="7" w:tplc="551EE14E">
      <w:start w:val="1"/>
      <w:numFmt w:val="bullet"/>
      <w:lvlText w:val="●"/>
      <w:lvlJc w:val="left"/>
      <w:pPr>
        <w:ind w:left="5760" w:hanging="360"/>
      </w:pPr>
    </w:lvl>
    <w:lvl w:ilvl="8" w:tplc="22A6AA80">
      <w:start w:val="1"/>
      <w:numFmt w:val="bullet"/>
      <w:lvlText w:val="●"/>
      <w:lvlJc w:val="left"/>
      <w:pPr>
        <w:ind w:left="6480" w:hanging="360"/>
      </w:pPr>
    </w:lvl>
  </w:abstractNum>
  <w:num w:numId="1" w16cid:durableId="129768721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C73"/>
    <w:rsid w:val="0005253A"/>
    <w:rsid w:val="000B5DC1"/>
    <w:rsid w:val="003B232E"/>
    <w:rsid w:val="003B72B5"/>
    <w:rsid w:val="005A46B9"/>
    <w:rsid w:val="006032BA"/>
    <w:rsid w:val="00791327"/>
    <w:rsid w:val="008B6C73"/>
    <w:rsid w:val="00A71799"/>
    <w:rsid w:val="00D92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5C03BD"/>
  <w15:docId w15:val="{DF4EEE37-1579-7F42-99F4-150BE56A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674</Words>
  <Characters>3845</Characters>
  <Application>Microsoft Office Word</Application>
  <DocSecurity>0</DocSecurity>
  <Lines>32</Lines>
  <Paragraphs>9</Paragraphs>
  <ScaleCrop>false</ScaleCrop>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nkd2128</cp:lastModifiedBy>
  <cp:revision>2</cp:revision>
  <dcterms:created xsi:type="dcterms:W3CDTF">2026-07-11T00:55:00Z</dcterms:created>
  <dcterms:modified xsi:type="dcterms:W3CDTF">2026-07-11T00:55:00Z</dcterms:modified>
</cp:coreProperties>
</file>