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B6C73" w14:paraId="5741219F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5D4B"/>
            <w:tcMar>
              <w:top w:w="20" w:type="dxa"/>
              <w:left w:w="160" w:type="dxa"/>
              <w:bottom w:w="10" w:type="dxa"/>
              <w:right w:w="160" w:type="dxa"/>
            </w:tcMar>
          </w:tcPr>
          <w:p w14:paraId="18462D36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46"/>
                <w:szCs w:val="46"/>
              </w:rPr>
              <w:t>NYC Energy Efficiency Corporation</w:t>
            </w:r>
          </w:p>
        </w:tc>
      </w:tr>
      <w:tr w:rsidR="008B6C73" w14:paraId="1E73F554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5D4B"/>
            <w:tcMar>
              <w:top w:w="4" w:type="dxa"/>
              <w:left w:w="160" w:type="dxa"/>
              <w:bottom w:w="4" w:type="dxa"/>
              <w:right w:w="160" w:type="dxa"/>
            </w:tcMar>
          </w:tcPr>
          <w:p w14:paraId="78B3A2A8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 xml:space="preserve">Est.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>2010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 xml:space="preserve">  First U.S. City-Level Green Lender</w:t>
            </w:r>
          </w:p>
        </w:tc>
      </w:tr>
      <w:tr w:rsidR="008B6C73" w14:paraId="064CAB1E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4332"/>
            <w:tcMar>
              <w:top w:w="40" w:type="dxa"/>
              <w:left w:w="160" w:type="dxa"/>
              <w:bottom w:w="40" w:type="dxa"/>
              <w:right w:w="160" w:type="dxa"/>
            </w:tcMar>
          </w:tcPr>
          <w:p w14:paraId="61975960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B7E4C7"/>
                <w:sz w:val="15"/>
                <w:szCs w:val="15"/>
              </w:rPr>
              <w:t xml:space="preserve">Predevelopment &amp; Retrofit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B7E4C7"/>
                <w:sz w:val="15"/>
                <w:szCs w:val="15"/>
              </w:rPr>
              <w:t>Financing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B7E4C7"/>
                <w:sz w:val="15"/>
                <w:szCs w:val="15"/>
              </w:rPr>
              <w:t xml:space="preserve">  Affordable Housing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B7E4C7"/>
                <w:sz w:val="15"/>
                <w:szCs w:val="15"/>
              </w:rPr>
              <w:t>Focus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B7E4C7"/>
                <w:sz w:val="15"/>
                <w:szCs w:val="15"/>
              </w:rPr>
              <w:t xml:space="preserve">  Intermediate Pathway — Green Banks &amp; Revolving Loan Funds</w:t>
            </w:r>
          </w:p>
        </w:tc>
      </w:tr>
    </w:tbl>
    <w:p w14:paraId="464D5F50" w14:textId="77777777" w:rsidR="008B6C73" w:rsidRDefault="008B6C73">
      <w:pPr>
        <w:spacing w:after="40"/>
      </w:pPr>
    </w:p>
    <w:p w14:paraId="214E497F" w14:textId="77777777" w:rsidR="008B6C73" w:rsidRDefault="008B6C73">
      <w:pPr>
        <w:pBdr>
          <w:bottom w:val="single" w:sz="6" w:space="1" w:color="C5DDD9"/>
        </w:pBdr>
      </w:pPr>
    </w:p>
    <w:p w14:paraId="536640E9" w14:textId="77777777" w:rsidR="008B6C73" w:rsidRDefault="008B6C73">
      <w:pPr>
        <w:spacing w:after="3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043F677B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6A4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51831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4E0DD8B5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2D6A4F"/>
                <w:sz w:val="16"/>
                <w:szCs w:val="16"/>
              </w:rPr>
              <w:t>WHAT IS IT?</w:t>
            </w:r>
          </w:p>
        </w:tc>
      </w:tr>
    </w:tbl>
    <w:p w14:paraId="0F71975A" w14:textId="77777777" w:rsidR="008B6C73" w:rsidRDefault="008B6C73">
      <w:pPr>
        <w:spacing w:after="25"/>
      </w:pPr>
    </w:p>
    <w:p w14:paraId="13C81DFB" w14:textId="77777777" w:rsidR="008B6C73" w:rsidRDefault="00000000">
      <w:r>
        <w:rPr>
          <w:rFonts w:ascii="Calibri" w:eastAsia="Calibri" w:hAnsi="Calibri" w:cs="Calibri"/>
          <w:color w:val="1A1A1A"/>
          <w:sz w:val="16"/>
          <w:szCs w:val="16"/>
        </w:rPr>
        <w:t>NYCEEC launched in 2010 using federal ARRA stimulus funding channeled through New York City, making it one of the earliest city-level green financing institutions in the United States and a model for cities globally. It later became an independent nonprofit to allow greater operational flexibility while maintaining a public-interest mission. NYCEEC provides loans for building energy efficiency and electrification upgrades, with a focus on affordable housing and other mission-driven building owners. It offers loans and predevelopment financing that help move projects from planning into construction, filling a gap that conventional lenders and grant programs rarely address. The compliance pressure created by Local Law 97 has significantly increased the retrofit pipeline that NYCEEC serves.</w:t>
      </w:r>
    </w:p>
    <w:p w14:paraId="7F32E831" w14:textId="77777777" w:rsidR="008B6C73" w:rsidRDefault="008B6C73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5E574B3C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6A4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2A0FA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02E6765C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2D6A4F"/>
                <w:sz w:val="16"/>
                <w:szCs w:val="16"/>
              </w:rPr>
              <w:t>EVIDENCE HIGHLIGHTS</w:t>
            </w:r>
          </w:p>
        </w:tc>
      </w:tr>
    </w:tbl>
    <w:p w14:paraId="55EE3642" w14:textId="77777777" w:rsidR="008B6C73" w:rsidRDefault="008B6C73">
      <w:pPr>
        <w:spacing w:after="28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7060"/>
      </w:tblGrid>
      <w:tr w:rsidR="008B6C73" w14:paraId="001936CA" w14:textId="77777777">
        <w:tc>
          <w:tcPr>
            <w:tcW w:w="230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E8F4F1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A45D51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4332"/>
                <w:sz w:val="16"/>
                <w:szCs w:val="16"/>
              </w:rPr>
              <w:t>Founded</w:t>
            </w:r>
          </w:p>
        </w:tc>
        <w:tc>
          <w:tcPr>
            <w:tcW w:w="706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729CB002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2010 — one of the first city-level green financing institutions in the United States</w:t>
            </w:r>
          </w:p>
        </w:tc>
      </w:tr>
      <w:tr w:rsidR="008B6C73" w14:paraId="4E442326" w14:textId="77777777">
        <w:tc>
          <w:tcPr>
            <w:tcW w:w="230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D4EBE6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25792D0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4332"/>
                <w:sz w:val="16"/>
                <w:szCs w:val="16"/>
              </w:rPr>
              <w:t>Initial Funding Source</w:t>
            </w:r>
          </w:p>
        </w:tc>
        <w:tc>
          <w:tcPr>
            <w:tcW w:w="706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54A80E94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Federal ARRA stimulus funding channeled through New York City government</w:t>
            </w:r>
          </w:p>
        </w:tc>
      </w:tr>
      <w:tr w:rsidR="008B6C73" w14:paraId="337316A2" w14:textId="77777777">
        <w:tc>
          <w:tcPr>
            <w:tcW w:w="230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E8F4F1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7054B6A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4332"/>
                <w:sz w:val="16"/>
                <w:szCs w:val="16"/>
              </w:rPr>
              <w:t>Legal Structure</w:t>
            </w:r>
          </w:p>
        </w:tc>
        <w:tc>
          <w:tcPr>
            <w:tcW w:w="706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112AD67C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Independent nonprofit — allows operational flexibility while maintaining public-interest mission</w:t>
            </w:r>
          </w:p>
        </w:tc>
      </w:tr>
      <w:tr w:rsidR="008B6C73" w14:paraId="220E67D0" w14:textId="77777777">
        <w:tc>
          <w:tcPr>
            <w:tcW w:w="230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D4EBE6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138188B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4332"/>
                <w:sz w:val="16"/>
                <w:szCs w:val="16"/>
              </w:rPr>
              <w:t>Primary Focus</w:t>
            </w:r>
          </w:p>
        </w:tc>
        <w:tc>
          <w:tcPr>
            <w:tcW w:w="706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40128894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Affordable housing and mission-driven building owners; predevelopment and construction-phase financing</w:t>
            </w:r>
          </w:p>
        </w:tc>
      </w:tr>
      <w:tr w:rsidR="008B6C73" w14:paraId="3166EC8A" w14:textId="77777777">
        <w:tc>
          <w:tcPr>
            <w:tcW w:w="230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E8F4F1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DB16C6F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4332"/>
                <w:sz w:val="16"/>
                <w:szCs w:val="16"/>
              </w:rPr>
              <w:t>DOE Recognition</w:t>
            </w:r>
          </w:p>
        </w:tc>
        <w:tc>
          <w:tcPr>
            <w:tcW w:w="706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3A9997F2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Recognized by the U.S. DOE Better Buildings Solution Center as a replicable model for predevelopment financing</w:t>
            </w:r>
          </w:p>
        </w:tc>
      </w:tr>
      <w:tr w:rsidR="008B6C73" w14:paraId="3902CE52" w14:textId="77777777">
        <w:tc>
          <w:tcPr>
            <w:tcW w:w="230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D4EBE6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48D4ADD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4332"/>
                <w:sz w:val="16"/>
                <w:szCs w:val="16"/>
              </w:rPr>
              <w:t>C40 Recognition</w:t>
            </w:r>
          </w:p>
        </w:tc>
        <w:tc>
          <w:tcPr>
            <w:tcW w:w="706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4B7DED3B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Identified by C40 Cities as a city-level approach other municipalities can adapt</w:t>
            </w:r>
          </w:p>
        </w:tc>
      </w:tr>
    </w:tbl>
    <w:p w14:paraId="3BB1EA1E" w14:textId="77777777" w:rsidR="008B6C73" w:rsidRDefault="008B6C73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2CAB09C6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6A4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F61EF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530CC9EA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2D6A4F"/>
                <w:sz w:val="16"/>
                <w:szCs w:val="16"/>
              </w:rPr>
              <w:t>HOW IT WORKS</w:t>
            </w:r>
          </w:p>
        </w:tc>
      </w:tr>
    </w:tbl>
    <w:p w14:paraId="38A2BCC2" w14:textId="77777777" w:rsidR="008B6C73" w:rsidRDefault="008B6C73">
      <w:pPr>
        <w:spacing w:after="28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6C73" w14:paraId="4D2D79E1" w14:textId="77777777"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EDF4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5630316C" w14:textId="77777777" w:rsidR="008B6C73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2D6A4F"/>
                <w:sz w:val="16"/>
                <w:szCs w:val="16"/>
              </w:rPr>
              <w:t>① Predevelopment Financing</w:t>
            </w:r>
          </w:p>
          <w:p w14:paraId="11E4D900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NYCEEC bridges the gap between identifying a retrofit need and securing construction financing — covering feasibility studies, energy audits, and design costs that conventional lenders will not fund.</w:t>
            </w:r>
          </w:p>
        </w:tc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5F8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13658389" w14:textId="77777777" w:rsidR="008B6C73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2D6A4F"/>
                <w:sz w:val="16"/>
                <w:szCs w:val="16"/>
              </w:rPr>
              <w:t>② Affordable Housing Priority</w:t>
            </w:r>
          </w:p>
          <w:p w14:paraId="3873CA87" w14:textId="0D941B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 xml:space="preserve">NYCEEC specifically targets affordable and mission-driven buildings where retrofit economics are </w:t>
            </w:r>
            <w:r w:rsidR="003B72B5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complex,</w:t>
            </w:r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 xml:space="preserve"> and conventional capital markets underserve the need.</w:t>
            </w:r>
          </w:p>
        </w:tc>
      </w:tr>
      <w:tr w:rsidR="008B6C73" w14:paraId="33577091" w14:textId="77777777"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5F8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64A98899" w14:textId="77777777" w:rsidR="008B6C73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2D6A4F"/>
                <w:sz w:val="16"/>
                <w:szCs w:val="16"/>
              </w:rPr>
              <w:t>③ Independence Enables Flexibility</w:t>
            </w:r>
          </w:p>
          <w:p w14:paraId="56EA49F2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Operating as a nonprofit rather than a city agency, NYCEEC can move at market speed, partner with CDFIs and banks, and structure loans that match project timelines.</w:t>
            </w:r>
          </w:p>
        </w:tc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EDF4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7523A61F" w14:textId="77777777" w:rsidR="008B6C73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2D6A4F"/>
                <w:sz w:val="16"/>
                <w:szCs w:val="16"/>
              </w:rPr>
              <w:t>④ LL97 Compliance Demand</w:t>
            </w:r>
          </w:p>
          <w:p w14:paraId="73A8F1F6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Local Law 97 carbon penalties ($268/</w:t>
            </w:r>
            <w:proofErr w:type="spellStart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tonne</w:t>
            </w:r>
            <w:proofErr w:type="spellEnd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 xml:space="preserve"> over the limit) create urgency and a sustained retrofit pipeline, giving NYCEEC a reliable source of borrowers for mandatory upgrades.</w:t>
            </w:r>
          </w:p>
        </w:tc>
      </w:tr>
    </w:tbl>
    <w:p w14:paraId="3C862A71" w14:textId="77777777" w:rsidR="008B6C73" w:rsidRDefault="008B6C73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1762AB9F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6A4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6FAA2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4699DA90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2D6A4F"/>
                <w:sz w:val="16"/>
                <w:szCs w:val="16"/>
              </w:rPr>
              <w:t>ENABLING CONDITIONS &amp; REPLICATION</w:t>
            </w:r>
          </w:p>
        </w:tc>
      </w:tr>
    </w:tbl>
    <w:p w14:paraId="3F5EAD0E" w14:textId="77777777" w:rsidR="008B6C73" w:rsidRDefault="008B6C73">
      <w:pPr>
        <w:spacing w:after="28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6C73" w14:paraId="114DA53F" w14:textId="77777777"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2D6A4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E21D811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What Made It Possible</w:t>
            </w:r>
          </w:p>
        </w:tc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2D6A4F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36ABFD1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Who Can Replicate This</w:t>
            </w:r>
          </w:p>
        </w:tc>
      </w:tr>
      <w:tr w:rsidR="008B6C73" w14:paraId="7D342254" w14:textId="77777777"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6AC92013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Federal ARRA stimulus provided initial seed capital — a moment of opportunity for city green finance institutions</w:t>
            </w:r>
          </w:p>
        </w:tc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0E06FF7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with access to federal or state seed capital to capitalize a green finance institution</w:t>
            </w:r>
          </w:p>
        </w:tc>
      </w:tr>
      <w:tr w:rsidR="008B6C73" w14:paraId="7BD6B7EC" w14:textId="77777777"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5415FB48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NYC political will and administrative support to channel federal funds into a new institution</w:t>
            </w:r>
          </w:p>
        </w:tc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6A55E247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with building performance standards generating retrofit demand and borrower pipelines</w:t>
            </w:r>
          </w:p>
        </w:tc>
      </w:tr>
      <w:tr w:rsidR="008B6C73" w14:paraId="07D8A91B" w14:textId="77777777"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775ADBC8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Transition to nonprofit structure enabled operational flexibility and private-sector partnerships</w:t>
            </w:r>
          </w:p>
        </w:tc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73AE7C04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willing to authorize a nonprofit or quasi-public structure for greater operational flexibility</w:t>
            </w:r>
          </w:p>
        </w:tc>
      </w:tr>
      <w:tr w:rsidR="008B6C73" w14:paraId="2E488B1A" w14:textId="77777777"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1DDC29D5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Local Law 97 created sustained retrofit demand that continuously fills NYCEEC's pipeline</w:t>
            </w:r>
          </w:p>
        </w:tc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223D8CA0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with significant affordable housing stock requiring energy upgrades where conventional lenders are reluctant</w:t>
            </w:r>
          </w:p>
        </w:tc>
      </w:tr>
      <w:tr w:rsidR="008B6C73" w14:paraId="4CFC7FAA" w14:textId="77777777"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00D2808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Strong CDFI and banking ecosystem in NYC willing to co-invest alongside NYCEEC</w:t>
            </w:r>
          </w:p>
        </w:tc>
        <w:tc>
          <w:tcPr>
            <w:tcW w:w="4680" w:type="dxa"/>
            <w:tcBorders>
              <w:top w:val="single" w:sz="4" w:space="0" w:color="C5DDD9"/>
              <w:left w:val="single" w:sz="4" w:space="0" w:color="C5DDD9"/>
              <w:bottom w:val="single" w:sz="4" w:space="0" w:color="C5DDD9"/>
              <w:right w:val="single" w:sz="4" w:space="0" w:color="C5DDD9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03C58E9B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 xml:space="preserve">Cities with established CDFI networks and </w:t>
            </w:r>
            <w:proofErr w:type="gramStart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private-sector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 xml:space="preserve"> co-finance partners</w:t>
            </w:r>
          </w:p>
        </w:tc>
      </w:tr>
    </w:tbl>
    <w:p w14:paraId="0DBA6ECF" w14:textId="77777777" w:rsidR="008B6C73" w:rsidRDefault="008B6C73">
      <w:pPr>
        <w:spacing w:after="30"/>
      </w:pPr>
    </w:p>
    <w:p w14:paraId="4439AAB4" w14:textId="77777777" w:rsidR="008B6C73" w:rsidRDefault="00000000">
      <w:r>
        <w:br w:type="page"/>
      </w:r>
    </w:p>
    <w:sectPr w:rsidR="008B6C73">
      <w:pgSz w:w="12240" w:h="15840"/>
      <w:pgMar w:top="500" w:right="600" w:bottom="500" w:left="6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C87D26"/>
    <w:multiLevelType w:val="hybridMultilevel"/>
    <w:tmpl w:val="E0E8E45E"/>
    <w:lvl w:ilvl="0" w:tplc="88128A0C">
      <w:start w:val="1"/>
      <w:numFmt w:val="bullet"/>
      <w:lvlText w:val="●"/>
      <w:lvlJc w:val="left"/>
      <w:pPr>
        <w:ind w:left="720" w:hanging="360"/>
      </w:pPr>
    </w:lvl>
    <w:lvl w:ilvl="1" w:tplc="768A1AAC">
      <w:start w:val="1"/>
      <w:numFmt w:val="bullet"/>
      <w:lvlText w:val="○"/>
      <w:lvlJc w:val="left"/>
      <w:pPr>
        <w:ind w:left="1440" w:hanging="360"/>
      </w:pPr>
    </w:lvl>
    <w:lvl w:ilvl="2" w:tplc="B6D0F082">
      <w:start w:val="1"/>
      <w:numFmt w:val="bullet"/>
      <w:lvlText w:val="■"/>
      <w:lvlJc w:val="left"/>
      <w:pPr>
        <w:ind w:left="2160" w:hanging="360"/>
      </w:pPr>
    </w:lvl>
    <w:lvl w:ilvl="3" w:tplc="5DCE2D70">
      <w:start w:val="1"/>
      <w:numFmt w:val="bullet"/>
      <w:lvlText w:val="●"/>
      <w:lvlJc w:val="left"/>
      <w:pPr>
        <w:ind w:left="2880" w:hanging="360"/>
      </w:pPr>
    </w:lvl>
    <w:lvl w:ilvl="4" w:tplc="8AEE3AE0">
      <w:start w:val="1"/>
      <w:numFmt w:val="bullet"/>
      <w:lvlText w:val="○"/>
      <w:lvlJc w:val="left"/>
      <w:pPr>
        <w:ind w:left="3600" w:hanging="360"/>
      </w:pPr>
    </w:lvl>
    <w:lvl w:ilvl="5" w:tplc="07F21F5A">
      <w:start w:val="1"/>
      <w:numFmt w:val="bullet"/>
      <w:lvlText w:val="■"/>
      <w:lvlJc w:val="left"/>
      <w:pPr>
        <w:ind w:left="4320" w:hanging="360"/>
      </w:pPr>
    </w:lvl>
    <w:lvl w:ilvl="6" w:tplc="033EBC74">
      <w:start w:val="1"/>
      <w:numFmt w:val="bullet"/>
      <w:lvlText w:val="●"/>
      <w:lvlJc w:val="left"/>
      <w:pPr>
        <w:ind w:left="5040" w:hanging="360"/>
      </w:pPr>
    </w:lvl>
    <w:lvl w:ilvl="7" w:tplc="551EE14E">
      <w:start w:val="1"/>
      <w:numFmt w:val="bullet"/>
      <w:lvlText w:val="●"/>
      <w:lvlJc w:val="left"/>
      <w:pPr>
        <w:ind w:left="5760" w:hanging="360"/>
      </w:pPr>
    </w:lvl>
    <w:lvl w:ilvl="8" w:tplc="22A6AA80">
      <w:start w:val="1"/>
      <w:numFmt w:val="bullet"/>
      <w:lvlText w:val="●"/>
      <w:lvlJc w:val="left"/>
      <w:pPr>
        <w:ind w:left="6480" w:hanging="360"/>
      </w:pPr>
    </w:lvl>
  </w:abstractNum>
  <w:num w:numId="1" w16cid:durableId="12976872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C73"/>
    <w:rsid w:val="0005253A"/>
    <w:rsid w:val="000B5DC1"/>
    <w:rsid w:val="003B232E"/>
    <w:rsid w:val="003B72B5"/>
    <w:rsid w:val="005A46B9"/>
    <w:rsid w:val="00791327"/>
    <w:rsid w:val="008B6C73"/>
    <w:rsid w:val="009E3E51"/>
    <w:rsid w:val="00A71799"/>
    <w:rsid w:val="00D9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5C03BD"/>
  <w15:docId w15:val="{DF4EEE37-1579-7F42-99F4-150BE56A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nkd2128</cp:lastModifiedBy>
  <cp:revision>2</cp:revision>
  <dcterms:created xsi:type="dcterms:W3CDTF">2026-07-11T01:18:00Z</dcterms:created>
  <dcterms:modified xsi:type="dcterms:W3CDTF">2026-07-11T01:18:00Z</dcterms:modified>
</cp:coreProperties>
</file>