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224E98" w14:textId="7A7AA115" w:rsidR="008B6C73" w:rsidRDefault="008B6C73"/>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8B6C73" w14:paraId="48B70B4A" w14:textId="77777777">
        <w:tc>
          <w:tcPr>
            <w:tcW w:w="0" w:type="auto"/>
            <w:tcBorders>
              <w:top w:val="none" w:sz="0" w:space="0" w:color="FFFFFF"/>
              <w:left w:val="none" w:sz="0" w:space="0" w:color="FFFFFF"/>
              <w:bottom w:val="none" w:sz="0" w:space="0" w:color="FFFFFF"/>
              <w:right w:val="none" w:sz="0" w:space="0" w:color="FFFFFF"/>
            </w:tcBorders>
            <w:shd w:val="clear" w:color="auto" w:fill="2E5D4B"/>
            <w:tcMar>
              <w:top w:w="50" w:type="dxa"/>
              <w:left w:w="160" w:type="dxa"/>
              <w:bottom w:w="20" w:type="dxa"/>
              <w:right w:w="160" w:type="dxa"/>
            </w:tcMar>
          </w:tcPr>
          <w:p w14:paraId="312DE500" w14:textId="77777777" w:rsidR="008B6C73" w:rsidRDefault="00000000">
            <w:r>
              <w:rPr>
                <w:rFonts w:ascii="Calibri" w:eastAsia="Calibri" w:hAnsi="Calibri" w:cs="Calibri"/>
                <w:b/>
                <w:bCs/>
                <w:color w:val="BBCFCC"/>
                <w:sz w:val="13"/>
                <w:szCs w:val="13"/>
              </w:rPr>
              <w:t xml:space="preserve">PATHWAY </w:t>
            </w:r>
            <w:proofErr w:type="gramStart"/>
            <w:r>
              <w:rPr>
                <w:rFonts w:ascii="Calibri" w:eastAsia="Calibri" w:hAnsi="Calibri" w:cs="Calibri"/>
                <w:b/>
                <w:bCs/>
                <w:color w:val="BBCFCC"/>
                <w:sz w:val="13"/>
                <w:szCs w:val="13"/>
              </w:rPr>
              <w:t>2.4  ·</w:t>
            </w:r>
            <w:proofErr w:type="gramEnd"/>
            <w:r>
              <w:rPr>
                <w:rFonts w:ascii="Calibri" w:eastAsia="Calibri" w:hAnsi="Calibri" w:cs="Calibri"/>
                <w:b/>
                <w:bCs/>
                <w:color w:val="BBCFCC"/>
                <w:sz w:val="13"/>
                <w:szCs w:val="13"/>
              </w:rPr>
              <w:t xml:space="preserve">  INTERMEDIATE PATHWAY — ENHANCED MULTIFAMILY PROGRAMS</w:t>
            </w:r>
          </w:p>
        </w:tc>
      </w:tr>
      <w:tr w:rsidR="008B6C73" w14:paraId="6F9C4606" w14:textId="77777777">
        <w:tc>
          <w:tcPr>
            <w:tcW w:w="0" w:type="auto"/>
            <w:tcBorders>
              <w:top w:val="none" w:sz="0" w:space="0" w:color="FFFFFF"/>
              <w:left w:val="none" w:sz="0" w:space="0" w:color="FFFFFF"/>
              <w:bottom w:val="none" w:sz="0" w:space="0" w:color="FFFFFF"/>
              <w:right w:val="none" w:sz="0" w:space="0" w:color="FFFFFF"/>
            </w:tcBorders>
            <w:shd w:val="clear" w:color="auto" w:fill="2E5D4B"/>
            <w:tcMar>
              <w:top w:w="20" w:type="dxa"/>
              <w:left w:w="160" w:type="dxa"/>
              <w:bottom w:w="10" w:type="dxa"/>
              <w:right w:w="160" w:type="dxa"/>
            </w:tcMar>
          </w:tcPr>
          <w:p w14:paraId="3138EB01" w14:textId="77777777" w:rsidR="008B6C73" w:rsidRDefault="00000000">
            <w:r>
              <w:rPr>
                <w:rFonts w:ascii="Calibri" w:eastAsia="Calibri" w:hAnsi="Calibri" w:cs="Calibri"/>
                <w:b/>
                <w:bCs/>
                <w:color w:val="FFFFFF"/>
                <w:sz w:val="46"/>
                <w:szCs w:val="46"/>
              </w:rPr>
              <w:t>NYC HPD Energy &amp; Electrification Partnerships</w:t>
            </w:r>
          </w:p>
        </w:tc>
      </w:tr>
      <w:tr w:rsidR="008B6C73" w14:paraId="3945B597" w14:textId="77777777">
        <w:tc>
          <w:tcPr>
            <w:tcW w:w="0" w:type="auto"/>
            <w:tcBorders>
              <w:top w:val="none" w:sz="0" w:space="0" w:color="FFFFFF"/>
              <w:left w:val="none" w:sz="0" w:space="0" w:color="FFFFFF"/>
              <w:bottom w:val="none" w:sz="0" w:space="0" w:color="FFFFFF"/>
              <w:right w:val="none" w:sz="0" w:space="0" w:color="FFFFFF"/>
            </w:tcBorders>
            <w:shd w:val="clear" w:color="auto" w:fill="2E5D4B"/>
            <w:tcMar>
              <w:top w:w="4" w:type="dxa"/>
              <w:left w:w="160" w:type="dxa"/>
              <w:bottom w:w="4" w:type="dxa"/>
              <w:right w:w="160" w:type="dxa"/>
            </w:tcMar>
          </w:tcPr>
          <w:p w14:paraId="59374B04" w14:textId="77777777" w:rsidR="008B6C73" w:rsidRDefault="00000000">
            <w:r>
              <w:rPr>
                <w:rFonts w:ascii="Calibri" w:eastAsia="Calibri" w:hAnsi="Calibri" w:cs="Calibri"/>
                <w:b/>
                <w:bCs/>
                <w:color w:val="D8F0ED"/>
                <w:sz w:val="16"/>
                <w:szCs w:val="16"/>
              </w:rPr>
              <w:t xml:space="preserve">NYC Dept. of Housing Preservation &amp; </w:t>
            </w:r>
            <w:proofErr w:type="gramStart"/>
            <w:r>
              <w:rPr>
                <w:rFonts w:ascii="Calibri" w:eastAsia="Calibri" w:hAnsi="Calibri" w:cs="Calibri"/>
                <w:b/>
                <w:bCs/>
                <w:color w:val="D8F0ED"/>
                <w:sz w:val="16"/>
                <w:szCs w:val="16"/>
              </w:rPr>
              <w:t>Development  ·</w:t>
            </w:r>
            <w:proofErr w:type="gramEnd"/>
            <w:r>
              <w:rPr>
                <w:rFonts w:ascii="Calibri" w:eastAsia="Calibri" w:hAnsi="Calibri" w:cs="Calibri"/>
                <w:b/>
                <w:bCs/>
                <w:color w:val="D8F0ED"/>
                <w:sz w:val="16"/>
                <w:szCs w:val="16"/>
              </w:rPr>
              <w:t xml:space="preserve">  New York, </w:t>
            </w:r>
            <w:proofErr w:type="gramStart"/>
            <w:r>
              <w:rPr>
                <w:rFonts w:ascii="Calibri" w:eastAsia="Calibri" w:hAnsi="Calibri" w:cs="Calibri"/>
                <w:b/>
                <w:bCs/>
                <w:color w:val="D8F0ED"/>
                <w:sz w:val="16"/>
                <w:szCs w:val="16"/>
              </w:rPr>
              <w:t>NY  ·</w:t>
            </w:r>
            <w:proofErr w:type="gramEnd"/>
            <w:r>
              <w:rPr>
                <w:rFonts w:ascii="Calibri" w:eastAsia="Calibri" w:hAnsi="Calibri" w:cs="Calibri"/>
                <w:b/>
                <w:bCs/>
                <w:color w:val="D8F0ED"/>
                <w:sz w:val="16"/>
                <w:szCs w:val="16"/>
              </w:rPr>
              <w:t xml:space="preserve">  Program Cluster</w:t>
            </w:r>
          </w:p>
        </w:tc>
      </w:tr>
      <w:tr w:rsidR="008B6C73" w14:paraId="333E1BF3" w14:textId="77777777">
        <w:tc>
          <w:tcPr>
            <w:tcW w:w="0" w:type="auto"/>
            <w:tcBorders>
              <w:top w:val="none" w:sz="0" w:space="0" w:color="FFFFFF"/>
              <w:left w:val="none" w:sz="0" w:space="0" w:color="FFFFFF"/>
              <w:bottom w:val="none" w:sz="0" w:space="0" w:color="FFFFFF"/>
              <w:right w:val="none" w:sz="0" w:space="0" w:color="FFFFFF"/>
            </w:tcBorders>
            <w:shd w:val="clear" w:color="auto" w:fill="1B4332"/>
            <w:tcMar>
              <w:top w:w="40" w:type="dxa"/>
              <w:left w:w="160" w:type="dxa"/>
              <w:bottom w:w="40" w:type="dxa"/>
              <w:right w:w="160" w:type="dxa"/>
            </w:tcMar>
          </w:tcPr>
          <w:p w14:paraId="4254333A" w14:textId="77777777" w:rsidR="008B6C73" w:rsidRDefault="00000000">
            <w:r>
              <w:rPr>
                <w:rFonts w:ascii="Calibri" w:eastAsia="Calibri" w:hAnsi="Calibri" w:cs="Calibri"/>
                <w:b/>
                <w:bCs/>
                <w:color w:val="B7E4C7"/>
                <w:sz w:val="15"/>
                <w:szCs w:val="15"/>
              </w:rPr>
              <w:t xml:space="preserve">18,200 Buildings </w:t>
            </w:r>
            <w:proofErr w:type="gramStart"/>
            <w:r>
              <w:rPr>
                <w:rFonts w:ascii="Calibri" w:eastAsia="Calibri" w:hAnsi="Calibri" w:cs="Calibri"/>
                <w:b/>
                <w:bCs/>
                <w:color w:val="B7E4C7"/>
                <w:sz w:val="15"/>
                <w:szCs w:val="15"/>
              </w:rPr>
              <w:t>Engaged  ·</w:t>
            </w:r>
            <w:proofErr w:type="gramEnd"/>
            <w:r>
              <w:rPr>
                <w:rFonts w:ascii="Calibri" w:eastAsia="Calibri" w:hAnsi="Calibri" w:cs="Calibri"/>
                <w:b/>
                <w:bCs/>
                <w:color w:val="B7E4C7"/>
                <w:sz w:val="15"/>
                <w:szCs w:val="15"/>
              </w:rPr>
              <w:t xml:space="preserve">  Multifamily Weatherization &amp; </w:t>
            </w:r>
            <w:proofErr w:type="gramStart"/>
            <w:r>
              <w:rPr>
                <w:rFonts w:ascii="Calibri" w:eastAsia="Calibri" w:hAnsi="Calibri" w:cs="Calibri"/>
                <w:b/>
                <w:bCs/>
                <w:color w:val="B7E4C7"/>
                <w:sz w:val="15"/>
                <w:szCs w:val="15"/>
              </w:rPr>
              <w:t>Electrification  ·</w:t>
            </w:r>
            <w:proofErr w:type="gramEnd"/>
            <w:r>
              <w:rPr>
                <w:rFonts w:ascii="Calibri" w:eastAsia="Calibri" w:hAnsi="Calibri" w:cs="Calibri"/>
                <w:b/>
                <w:bCs/>
                <w:color w:val="B7E4C7"/>
                <w:sz w:val="15"/>
                <w:szCs w:val="15"/>
              </w:rPr>
              <w:t xml:space="preserve">  LL97-</w:t>
            </w:r>
            <w:proofErr w:type="gramStart"/>
            <w:r>
              <w:rPr>
                <w:rFonts w:ascii="Calibri" w:eastAsia="Calibri" w:hAnsi="Calibri" w:cs="Calibri"/>
                <w:b/>
                <w:bCs/>
                <w:color w:val="B7E4C7"/>
                <w:sz w:val="15"/>
                <w:szCs w:val="15"/>
              </w:rPr>
              <w:t>Aligned  ·</w:t>
            </w:r>
            <w:proofErr w:type="gramEnd"/>
            <w:r>
              <w:rPr>
                <w:rFonts w:ascii="Calibri" w:eastAsia="Calibri" w:hAnsi="Calibri" w:cs="Calibri"/>
                <w:b/>
                <w:bCs/>
                <w:color w:val="B7E4C7"/>
                <w:sz w:val="15"/>
                <w:szCs w:val="15"/>
              </w:rPr>
              <w:t xml:space="preserve">  Intermediate Pathway</w:t>
            </w:r>
          </w:p>
        </w:tc>
      </w:tr>
    </w:tbl>
    <w:p w14:paraId="077C0F2B" w14:textId="77777777" w:rsidR="008B6C73" w:rsidRDefault="008B6C73">
      <w:pPr>
        <w:pBdr>
          <w:bottom w:val="single" w:sz="6" w:space="1" w:color="C5DDD9"/>
        </w:pBdr>
      </w:pPr>
    </w:p>
    <w:p w14:paraId="3D5E9866" w14:textId="77777777" w:rsidR="008B6C73" w:rsidRDefault="008B6C73">
      <w:pPr>
        <w:spacing w:after="3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05A5FCFA"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7109483C"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0C251512" w14:textId="77777777" w:rsidR="008B6C73" w:rsidRDefault="00000000">
            <w:r>
              <w:rPr>
                <w:rFonts w:ascii="Calibri" w:eastAsia="Calibri" w:hAnsi="Calibri" w:cs="Calibri"/>
                <w:b/>
                <w:bCs/>
                <w:color w:val="2D6A4F"/>
                <w:sz w:val="16"/>
                <w:szCs w:val="16"/>
              </w:rPr>
              <w:t>WHAT IS IT?</w:t>
            </w:r>
          </w:p>
        </w:tc>
      </w:tr>
    </w:tbl>
    <w:p w14:paraId="4BE6C774" w14:textId="77777777" w:rsidR="008B6C73" w:rsidRDefault="008B6C73">
      <w:pPr>
        <w:spacing w:after="25"/>
      </w:pPr>
    </w:p>
    <w:p w14:paraId="6F7E95AA" w14:textId="77777777" w:rsidR="008B6C73" w:rsidRDefault="00000000">
      <w:r>
        <w:rPr>
          <w:rFonts w:ascii="Calibri" w:eastAsia="Calibri" w:hAnsi="Calibri" w:cs="Calibri"/>
          <w:color w:val="1A1A1A"/>
          <w:sz w:val="16"/>
          <w:szCs w:val="16"/>
        </w:rPr>
        <w:t xml:space="preserve">NYC Housing Preservation &amp; Development (HPD) coordinates a portfolio of programs that deliver energy-efficiency, weatherization, and electrification upgrades to regulated and subsidized multifamily buildings between 3 and approximately 50 units. This cluster includes the Multifamily Weatherization Assistance Program (WAP), the Green Housing Preservation Program (GHPP, now retired and incorporated into larger programming), NYSERDA </w:t>
      </w:r>
      <w:proofErr w:type="spellStart"/>
      <w:r>
        <w:rPr>
          <w:rFonts w:ascii="Calibri" w:eastAsia="Calibri" w:hAnsi="Calibri" w:cs="Calibri"/>
          <w:color w:val="1A1A1A"/>
          <w:sz w:val="16"/>
          <w:szCs w:val="16"/>
        </w:rPr>
        <w:t>FlexTech</w:t>
      </w:r>
      <w:proofErr w:type="spellEnd"/>
      <w:r>
        <w:rPr>
          <w:rFonts w:ascii="Calibri" w:eastAsia="Calibri" w:hAnsi="Calibri" w:cs="Calibri"/>
          <w:color w:val="1A1A1A"/>
          <w:sz w:val="16"/>
          <w:szCs w:val="16"/>
        </w:rPr>
        <w:t xml:space="preserve"> studies, Clean Heat for All, the NYC Accelerator, and the Small Affordable Multifamily Energy Studies (SAMES) program. HPD leads with key partners including Con Edison, NYSERDA, Enterprise Community Partners, local retrofit contractors, and community housing organizations. The enabling framework is provided by Local Law 97 compliance requirements and HPD's preservation mandate. All units remain rent-stabilized under HPD-funded work, with no rent increases and no displacement permitted.</w:t>
      </w:r>
    </w:p>
    <w:p w14:paraId="66408381"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638136B8"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5401E9AB"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686E1DFC" w14:textId="77777777" w:rsidR="008B6C73" w:rsidRDefault="00000000">
            <w:r>
              <w:rPr>
                <w:rFonts w:ascii="Calibri" w:eastAsia="Calibri" w:hAnsi="Calibri" w:cs="Calibri"/>
                <w:b/>
                <w:bCs/>
                <w:color w:val="2D6A4F"/>
                <w:sz w:val="16"/>
                <w:szCs w:val="16"/>
              </w:rPr>
              <w:t>EVIDENCE HIGHLIGHTS</w:t>
            </w:r>
          </w:p>
        </w:tc>
      </w:tr>
    </w:tbl>
    <w:p w14:paraId="6F1D1971" w14:textId="77777777" w:rsidR="008B6C73" w:rsidRDefault="008B6C73">
      <w:pPr>
        <w:spacing w:after="28"/>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8495"/>
      </w:tblGrid>
      <w:tr w:rsidR="008B6C73" w14:paraId="3E10C0D6" w14:textId="77777777" w:rsidTr="00A71799">
        <w:tc>
          <w:tcPr>
            <w:tcW w:w="2300" w:type="dxa"/>
            <w:tcBorders>
              <w:top w:val="single" w:sz="4" w:space="0" w:color="C5DDD9"/>
              <w:left w:val="single" w:sz="4" w:space="0" w:color="C5DDD9"/>
              <w:bottom w:val="single" w:sz="4" w:space="0" w:color="C5DDD9"/>
              <w:right w:val="single" w:sz="4" w:space="0" w:color="C5DDD9"/>
            </w:tcBorders>
            <w:shd w:val="clear" w:color="auto" w:fill="E8F4F1"/>
            <w:tcMar>
              <w:top w:w="55" w:type="dxa"/>
              <w:left w:w="100" w:type="dxa"/>
              <w:bottom w:w="55" w:type="dxa"/>
              <w:right w:w="100" w:type="dxa"/>
            </w:tcMar>
          </w:tcPr>
          <w:p w14:paraId="4A65F3C5" w14:textId="77777777" w:rsidR="008B6C73" w:rsidRDefault="00000000">
            <w:r>
              <w:rPr>
                <w:rFonts w:ascii="Calibri" w:eastAsia="Calibri" w:hAnsi="Calibri" w:cs="Calibri"/>
                <w:b/>
                <w:bCs/>
                <w:color w:val="1B4332"/>
                <w:sz w:val="16"/>
                <w:szCs w:val="16"/>
              </w:rPr>
              <w:t>Program Cluster</w:t>
            </w:r>
          </w:p>
        </w:tc>
        <w:tc>
          <w:tcPr>
            <w:tcW w:w="8495"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00" w:type="dxa"/>
            </w:tcMar>
          </w:tcPr>
          <w:p w14:paraId="44459FD0" w14:textId="77777777" w:rsidR="008B6C73" w:rsidRDefault="00000000">
            <w:r>
              <w:rPr>
                <w:rFonts w:ascii="Calibri" w:eastAsia="Calibri" w:hAnsi="Calibri" w:cs="Calibri"/>
                <w:color w:val="1A1A1A"/>
                <w:sz w:val="16"/>
                <w:szCs w:val="16"/>
              </w:rPr>
              <w:t>WAP, GHPP, Clean Heat for All, NYC Accelerator, SAMES — coordinated by HPD</w:t>
            </w:r>
          </w:p>
        </w:tc>
      </w:tr>
      <w:tr w:rsidR="008B6C73" w14:paraId="5CDAF922" w14:textId="77777777" w:rsidTr="00A71799">
        <w:tc>
          <w:tcPr>
            <w:tcW w:w="2300" w:type="dxa"/>
            <w:tcBorders>
              <w:top w:val="single" w:sz="4" w:space="0" w:color="C5DDD9"/>
              <w:left w:val="single" w:sz="4" w:space="0" w:color="C5DDD9"/>
              <w:bottom w:val="single" w:sz="4" w:space="0" w:color="C5DDD9"/>
              <w:right w:val="single" w:sz="4" w:space="0" w:color="C5DDD9"/>
            </w:tcBorders>
            <w:shd w:val="clear" w:color="auto" w:fill="D4EBE6"/>
            <w:tcMar>
              <w:top w:w="55" w:type="dxa"/>
              <w:left w:w="100" w:type="dxa"/>
              <w:bottom w:w="55" w:type="dxa"/>
              <w:right w:w="100" w:type="dxa"/>
            </w:tcMar>
          </w:tcPr>
          <w:p w14:paraId="23C29627" w14:textId="77777777" w:rsidR="008B6C73" w:rsidRDefault="00000000">
            <w:r>
              <w:rPr>
                <w:rFonts w:ascii="Calibri" w:eastAsia="Calibri" w:hAnsi="Calibri" w:cs="Calibri"/>
                <w:b/>
                <w:bCs/>
                <w:color w:val="1B4332"/>
                <w:sz w:val="16"/>
                <w:szCs w:val="16"/>
              </w:rPr>
              <w:t>Buildings Engaged</w:t>
            </w:r>
          </w:p>
        </w:tc>
        <w:tc>
          <w:tcPr>
            <w:tcW w:w="8495"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00" w:type="dxa"/>
            </w:tcMar>
          </w:tcPr>
          <w:p w14:paraId="7B0729C9" w14:textId="77777777" w:rsidR="008B6C73" w:rsidRDefault="00000000">
            <w:r>
              <w:rPr>
                <w:rFonts w:ascii="Calibri" w:eastAsia="Calibri" w:hAnsi="Calibri" w:cs="Calibri"/>
                <w:color w:val="1A1A1A"/>
                <w:sz w:val="16"/>
                <w:szCs w:val="16"/>
              </w:rPr>
              <w:t>18,200 buildings engaged as of May 2024, including 10,630 affordable housing buildings and 9,024 LL97-covered buildings</w:t>
            </w:r>
          </w:p>
        </w:tc>
      </w:tr>
      <w:tr w:rsidR="008B6C73" w14:paraId="6EE3E498" w14:textId="77777777" w:rsidTr="00A71799">
        <w:tc>
          <w:tcPr>
            <w:tcW w:w="2300" w:type="dxa"/>
            <w:tcBorders>
              <w:top w:val="single" w:sz="4" w:space="0" w:color="C5DDD9"/>
              <w:left w:val="single" w:sz="4" w:space="0" w:color="C5DDD9"/>
              <w:bottom w:val="single" w:sz="4" w:space="0" w:color="C5DDD9"/>
              <w:right w:val="single" w:sz="4" w:space="0" w:color="C5DDD9"/>
            </w:tcBorders>
            <w:shd w:val="clear" w:color="auto" w:fill="E8F4F1"/>
            <w:tcMar>
              <w:top w:w="55" w:type="dxa"/>
              <w:left w:w="100" w:type="dxa"/>
              <w:bottom w:w="55" w:type="dxa"/>
              <w:right w:w="100" w:type="dxa"/>
            </w:tcMar>
          </w:tcPr>
          <w:p w14:paraId="57946398" w14:textId="77777777" w:rsidR="008B6C73" w:rsidRDefault="00000000">
            <w:r>
              <w:rPr>
                <w:rFonts w:ascii="Calibri" w:eastAsia="Calibri" w:hAnsi="Calibri" w:cs="Calibri"/>
                <w:b/>
                <w:bCs/>
                <w:color w:val="1B4332"/>
                <w:sz w:val="16"/>
                <w:szCs w:val="16"/>
              </w:rPr>
              <w:t>Project Cost Range</w:t>
            </w:r>
          </w:p>
        </w:tc>
        <w:tc>
          <w:tcPr>
            <w:tcW w:w="8495"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00" w:type="dxa"/>
            </w:tcMar>
          </w:tcPr>
          <w:p w14:paraId="72BD9AAD" w14:textId="77777777" w:rsidR="008B6C73" w:rsidRDefault="00000000">
            <w:r>
              <w:rPr>
                <w:rFonts w:ascii="Calibri" w:eastAsia="Calibri" w:hAnsi="Calibri" w:cs="Calibri"/>
                <w:color w:val="1A1A1A"/>
                <w:sz w:val="16"/>
                <w:szCs w:val="16"/>
              </w:rPr>
              <w:t>GHPP projects historically $50,000–$250,000 per property; energy measures required to project ≥20% annual energy-use reduction</w:t>
            </w:r>
          </w:p>
        </w:tc>
      </w:tr>
      <w:tr w:rsidR="008B6C73" w14:paraId="5CF2379E" w14:textId="77777777" w:rsidTr="00A71799">
        <w:tc>
          <w:tcPr>
            <w:tcW w:w="2300" w:type="dxa"/>
            <w:tcBorders>
              <w:top w:val="single" w:sz="4" w:space="0" w:color="C5DDD9"/>
              <w:left w:val="single" w:sz="4" w:space="0" w:color="C5DDD9"/>
              <w:bottom w:val="single" w:sz="4" w:space="0" w:color="C5DDD9"/>
              <w:right w:val="single" w:sz="4" w:space="0" w:color="C5DDD9"/>
            </w:tcBorders>
            <w:shd w:val="clear" w:color="auto" w:fill="D4EBE6"/>
            <w:tcMar>
              <w:top w:w="55" w:type="dxa"/>
              <w:left w:w="100" w:type="dxa"/>
              <w:bottom w:w="55" w:type="dxa"/>
              <w:right w:w="100" w:type="dxa"/>
            </w:tcMar>
          </w:tcPr>
          <w:p w14:paraId="37C57DE6" w14:textId="77777777" w:rsidR="008B6C73" w:rsidRDefault="00000000">
            <w:r>
              <w:rPr>
                <w:rFonts w:ascii="Calibri" w:eastAsia="Calibri" w:hAnsi="Calibri" w:cs="Calibri"/>
                <w:b/>
                <w:bCs/>
                <w:color w:val="1B4332"/>
                <w:sz w:val="16"/>
                <w:szCs w:val="16"/>
              </w:rPr>
              <w:t>Building Eligibility</w:t>
            </w:r>
          </w:p>
        </w:tc>
        <w:tc>
          <w:tcPr>
            <w:tcW w:w="8495"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00" w:type="dxa"/>
            </w:tcMar>
          </w:tcPr>
          <w:p w14:paraId="2E7BC2F0" w14:textId="77777777" w:rsidR="008B6C73" w:rsidRDefault="00000000">
            <w:r>
              <w:rPr>
                <w:rFonts w:ascii="Calibri" w:eastAsia="Calibri" w:hAnsi="Calibri" w:cs="Calibri"/>
                <w:color w:val="1A1A1A"/>
                <w:sz w:val="16"/>
                <w:szCs w:val="16"/>
              </w:rPr>
              <w:t>Multifamily buildings 3–~50 units; excludes LIHTC and HUD-assisted properties; all units remain rent-stabilized</w:t>
            </w:r>
          </w:p>
        </w:tc>
      </w:tr>
      <w:tr w:rsidR="008B6C73" w14:paraId="46160638" w14:textId="77777777" w:rsidTr="00A71799">
        <w:tc>
          <w:tcPr>
            <w:tcW w:w="2300" w:type="dxa"/>
            <w:tcBorders>
              <w:top w:val="single" w:sz="4" w:space="0" w:color="C5DDD9"/>
              <w:left w:val="single" w:sz="4" w:space="0" w:color="C5DDD9"/>
              <w:bottom w:val="single" w:sz="4" w:space="0" w:color="C5DDD9"/>
              <w:right w:val="single" w:sz="4" w:space="0" w:color="C5DDD9"/>
            </w:tcBorders>
            <w:shd w:val="clear" w:color="auto" w:fill="E8F4F1"/>
            <w:tcMar>
              <w:top w:w="55" w:type="dxa"/>
              <w:left w:w="100" w:type="dxa"/>
              <w:bottom w:w="55" w:type="dxa"/>
              <w:right w:w="100" w:type="dxa"/>
            </w:tcMar>
          </w:tcPr>
          <w:p w14:paraId="534C9EB6" w14:textId="77777777" w:rsidR="008B6C73" w:rsidRDefault="00000000">
            <w:r>
              <w:rPr>
                <w:rFonts w:ascii="Calibri" w:eastAsia="Calibri" w:hAnsi="Calibri" w:cs="Calibri"/>
                <w:b/>
                <w:bCs/>
                <w:color w:val="1B4332"/>
                <w:sz w:val="16"/>
                <w:szCs w:val="16"/>
              </w:rPr>
              <w:t>Key Partners</w:t>
            </w:r>
          </w:p>
        </w:tc>
        <w:tc>
          <w:tcPr>
            <w:tcW w:w="8495"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00" w:type="dxa"/>
            </w:tcMar>
          </w:tcPr>
          <w:p w14:paraId="3D717EB0" w14:textId="77777777" w:rsidR="008B6C73" w:rsidRDefault="00000000">
            <w:r>
              <w:rPr>
                <w:rFonts w:ascii="Calibri" w:eastAsia="Calibri" w:hAnsi="Calibri" w:cs="Calibri"/>
                <w:color w:val="1A1A1A"/>
                <w:sz w:val="16"/>
                <w:szCs w:val="16"/>
              </w:rPr>
              <w:t>Con Edison, NYSERDA, Enterprise Community Partners, local retrofit contractors, community housing organizations</w:t>
            </w:r>
          </w:p>
        </w:tc>
      </w:tr>
      <w:tr w:rsidR="008B6C73" w14:paraId="2516A3ED" w14:textId="77777777" w:rsidTr="00A71799">
        <w:tc>
          <w:tcPr>
            <w:tcW w:w="2300" w:type="dxa"/>
            <w:tcBorders>
              <w:top w:val="single" w:sz="4" w:space="0" w:color="C5DDD9"/>
              <w:left w:val="single" w:sz="4" w:space="0" w:color="C5DDD9"/>
              <w:bottom w:val="single" w:sz="4" w:space="0" w:color="C5DDD9"/>
              <w:right w:val="single" w:sz="4" w:space="0" w:color="C5DDD9"/>
            </w:tcBorders>
            <w:shd w:val="clear" w:color="auto" w:fill="D4EBE6"/>
            <w:tcMar>
              <w:top w:w="55" w:type="dxa"/>
              <w:left w:w="100" w:type="dxa"/>
              <w:bottom w:w="55" w:type="dxa"/>
              <w:right w:w="100" w:type="dxa"/>
            </w:tcMar>
          </w:tcPr>
          <w:p w14:paraId="55F97BD7" w14:textId="77777777" w:rsidR="008B6C73" w:rsidRDefault="00000000">
            <w:r>
              <w:rPr>
                <w:rFonts w:ascii="Calibri" w:eastAsia="Calibri" w:hAnsi="Calibri" w:cs="Calibri"/>
                <w:b/>
                <w:bCs/>
                <w:color w:val="1B4332"/>
                <w:sz w:val="16"/>
                <w:szCs w:val="16"/>
              </w:rPr>
              <w:t>Tenant Protections</w:t>
            </w:r>
          </w:p>
        </w:tc>
        <w:tc>
          <w:tcPr>
            <w:tcW w:w="8495"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00" w:type="dxa"/>
            </w:tcMar>
          </w:tcPr>
          <w:p w14:paraId="5F10DDB7" w14:textId="77777777" w:rsidR="008B6C73" w:rsidRDefault="00000000">
            <w:r>
              <w:rPr>
                <w:rFonts w:ascii="Calibri" w:eastAsia="Calibri" w:hAnsi="Calibri" w:cs="Calibri"/>
                <w:color w:val="1A1A1A"/>
                <w:sz w:val="16"/>
                <w:szCs w:val="16"/>
              </w:rPr>
              <w:t>No rent increases tied to HPD-funded work; no displacement permitted under HPD preservation financing</w:t>
            </w:r>
          </w:p>
        </w:tc>
      </w:tr>
      <w:tr w:rsidR="008B6C73" w14:paraId="33263FF7" w14:textId="77777777" w:rsidTr="00A71799">
        <w:tc>
          <w:tcPr>
            <w:tcW w:w="2300" w:type="dxa"/>
            <w:tcBorders>
              <w:top w:val="single" w:sz="4" w:space="0" w:color="C5DDD9"/>
              <w:left w:val="single" w:sz="4" w:space="0" w:color="C5DDD9"/>
              <w:bottom w:val="single" w:sz="4" w:space="0" w:color="C5DDD9"/>
              <w:right w:val="single" w:sz="4" w:space="0" w:color="C5DDD9"/>
            </w:tcBorders>
            <w:shd w:val="clear" w:color="auto" w:fill="E8F4F1"/>
            <w:tcMar>
              <w:top w:w="55" w:type="dxa"/>
              <w:left w:w="100" w:type="dxa"/>
              <w:bottom w:w="55" w:type="dxa"/>
              <w:right w:w="100" w:type="dxa"/>
            </w:tcMar>
          </w:tcPr>
          <w:p w14:paraId="709B8AE5" w14:textId="77777777" w:rsidR="008B6C73" w:rsidRDefault="00000000">
            <w:r>
              <w:rPr>
                <w:rFonts w:ascii="Calibri" w:eastAsia="Calibri" w:hAnsi="Calibri" w:cs="Calibri"/>
                <w:b/>
                <w:bCs/>
                <w:color w:val="1B4332"/>
                <w:sz w:val="16"/>
                <w:szCs w:val="16"/>
              </w:rPr>
              <w:t>Funding Sources</w:t>
            </w:r>
          </w:p>
        </w:tc>
        <w:tc>
          <w:tcPr>
            <w:tcW w:w="8495"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00" w:type="dxa"/>
            </w:tcMar>
          </w:tcPr>
          <w:p w14:paraId="1A2C5E31" w14:textId="77777777" w:rsidR="008B6C73" w:rsidRDefault="00000000">
            <w:r>
              <w:rPr>
                <w:rFonts w:ascii="Calibri" w:eastAsia="Calibri" w:hAnsi="Calibri" w:cs="Calibri"/>
                <w:color w:val="1A1A1A"/>
                <w:sz w:val="16"/>
                <w:szCs w:val="16"/>
              </w:rPr>
              <w:t>NYSERDA Clean Energy Fund, Con Edison incentives (PSC-approved), HPD capital funds, Federal WAP</w:t>
            </w:r>
          </w:p>
        </w:tc>
      </w:tr>
    </w:tbl>
    <w:p w14:paraId="5D70A91E"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47DAFEFC"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4614BB31"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245E11BB" w14:textId="77777777" w:rsidR="008B6C73" w:rsidRDefault="00000000">
            <w:r>
              <w:rPr>
                <w:rFonts w:ascii="Calibri" w:eastAsia="Calibri" w:hAnsi="Calibri" w:cs="Calibri"/>
                <w:b/>
                <w:bCs/>
                <w:color w:val="2D6A4F"/>
                <w:sz w:val="16"/>
                <w:szCs w:val="16"/>
              </w:rPr>
              <w:t>HOW IT WORKS</w:t>
            </w:r>
          </w:p>
        </w:tc>
      </w:tr>
    </w:tbl>
    <w:p w14:paraId="3774F166" w14:textId="77777777" w:rsidR="008B6C73" w:rsidRDefault="008B6C73">
      <w:pPr>
        <w:spacing w:after="28"/>
      </w:pP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35"/>
        <w:gridCol w:w="5760"/>
      </w:tblGrid>
      <w:tr w:rsidR="008B6C73" w14:paraId="1E8C0B2A" w14:textId="77777777" w:rsidTr="00A71799">
        <w:tc>
          <w:tcPr>
            <w:tcW w:w="5035" w:type="dxa"/>
            <w:tcBorders>
              <w:top w:val="single" w:sz="4" w:space="0" w:color="C5DDD9"/>
              <w:left w:val="single" w:sz="4" w:space="0" w:color="C5DDD9"/>
              <w:bottom w:val="single" w:sz="4" w:space="0" w:color="C5DDD9"/>
              <w:right w:val="single" w:sz="4" w:space="0" w:color="C5DDD9"/>
            </w:tcBorders>
            <w:shd w:val="clear" w:color="auto" w:fill="EDF4FC"/>
            <w:tcMar>
              <w:top w:w="60" w:type="dxa"/>
              <w:left w:w="110" w:type="dxa"/>
              <w:bottom w:w="65" w:type="dxa"/>
              <w:right w:w="110" w:type="dxa"/>
            </w:tcMar>
          </w:tcPr>
          <w:p w14:paraId="1C5DA675" w14:textId="77777777" w:rsidR="008B6C73" w:rsidRDefault="00000000">
            <w:pPr>
              <w:spacing w:after="30"/>
            </w:pPr>
            <w:r>
              <w:rPr>
                <w:rFonts w:ascii="Calibri" w:eastAsia="Calibri" w:hAnsi="Calibri" w:cs="Calibri"/>
                <w:b/>
                <w:bCs/>
                <w:color w:val="2D6A4F"/>
                <w:sz w:val="16"/>
                <w:szCs w:val="16"/>
              </w:rPr>
              <w:t>① HPD Coordination &amp; Regulatory Framework</w:t>
            </w:r>
          </w:p>
          <w:p w14:paraId="4FC78628" w14:textId="77777777" w:rsidR="008B6C73" w:rsidRDefault="00000000">
            <w:r>
              <w:rPr>
                <w:rFonts w:ascii="Calibri" w:eastAsia="Calibri" w:hAnsi="Calibri" w:cs="Calibri"/>
                <w:color w:val="1A1A1A"/>
                <w:sz w:val="16"/>
                <w:szCs w:val="16"/>
              </w:rPr>
              <w:t>HPD leads the program cluster through its preservation mandate and LL97 compliance requirements. Regulatory agreements with building owners establish eligibility, affordability conditions, and performance expectations.</w:t>
            </w:r>
          </w:p>
        </w:tc>
        <w:tc>
          <w:tcPr>
            <w:tcW w:w="5760" w:type="dxa"/>
            <w:tcBorders>
              <w:top w:val="single" w:sz="4" w:space="0" w:color="C5DDD9"/>
              <w:left w:val="single" w:sz="4" w:space="0" w:color="C5DDD9"/>
              <w:bottom w:val="single" w:sz="4" w:space="0" w:color="C5DDD9"/>
              <w:right w:val="single" w:sz="4" w:space="0" w:color="C5DDD9"/>
            </w:tcBorders>
            <w:shd w:val="clear" w:color="auto" w:fill="F5F8FC"/>
            <w:tcMar>
              <w:top w:w="60" w:type="dxa"/>
              <w:left w:w="110" w:type="dxa"/>
              <w:bottom w:w="65" w:type="dxa"/>
              <w:right w:w="110" w:type="dxa"/>
            </w:tcMar>
          </w:tcPr>
          <w:p w14:paraId="34729A74" w14:textId="77777777" w:rsidR="008B6C73" w:rsidRDefault="00000000">
            <w:pPr>
              <w:spacing w:after="30"/>
            </w:pPr>
            <w:r>
              <w:rPr>
                <w:rFonts w:ascii="Calibri" w:eastAsia="Calibri" w:hAnsi="Calibri" w:cs="Calibri"/>
                <w:b/>
                <w:bCs/>
                <w:color w:val="2D6A4F"/>
                <w:sz w:val="16"/>
                <w:szCs w:val="16"/>
              </w:rPr>
              <w:t>② Technical Assessment via IPNA</w:t>
            </w:r>
          </w:p>
          <w:p w14:paraId="2B9C1987" w14:textId="77777777" w:rsidR="008B6C73" w:rsidRDefault="00000000">
            <w:r>
              <w:rPr>
                <w:rFonts w:ascii="Calibri" w:eastAsia="Calibri" w:hAnsi="Calibri" w:cs="Calibri"/>
                <w:color w:val="1A1A1A"/>
                <w:sz w:val="16"/>
                <w:szCs w:val="16"/>
              </w:rPr>
              <w:t>The Integrated Physical Needs Assessment (IPNA) tool provides a standardized method for identifying energy-efficiency and capital-needs opportunities across HPD-regulated buildings.</w:t>
            </w:r>
          </w:p>
        </w:tc>
      </w:tr>
      <w:tr w:rsidR="008B6C73" w14:paraId="67FBF57B" w14:textId="77777777" w:rsidTr="00A71799">
        <w:tc>
          <w:tcPr>
            <w:tcW w:w="5035" w:type="dxa"/>
            <w:tcBorders>
              <w:top w:val="single" w:sz="4" w:space="0" w:color="C5DDD9"/>
              <w:left w:val="single" w:sz="4" w:space="0" w:color="C5DDD9"/>
              <w:bottom w:val="single" w:sz="4" w:space="0" w:color="C5DDD9"/>
              <w:right w:val="single" w:sz="4" w:space="0" w:color="C5DDD9"/>
            </w:tcBorders>
            <w:shd w:val="clear" w:color="auto" w:fill="F5F8FC"/>
            <w:tcMar>
              <w:top w:w="60" w:type="dxa"/>
              <w:left w:w="110" w:type="dxa"/>
              <w:bottom w:w="65" w:type="dxa"/>
              <w:right w:w="110" w:type="dxa"/>
            </w:tcMar>
          </w:tcPr>
          <w:p w14:paraId="7D9509CB" w14:textId="77777777" w:rsidR="008B6C73" w:rsidRDefault="00000000">
            <w:pPr>
              <w:spacing w:after="30"/>
            </w:pPr>
            <w:r>
              <w:rPr>
                <w:rFonts w:ascii="Calibri" w:eastAsia="Calibri" w:hAnsi="Calibri" w:cs="Calibri"/>
                <w:b/>
                <w:bCs/>
                <w:color w:val="2D6A4F"/>
                <w:sz w:val="16"/>
                <w:szCs w:val="16"/>
              </w:rPr>
              <w:t>③ Layered Program Delivery</w:t>
            </w:r>
          </w:p>
          <w:p w14:paraId="59A5B225" w14:textId="77777777" w:rsidR="008B6C73" w:rsidRDefault="00000000">
            <w:r>
              <w:rPr>
                <w:rFonts w:ascii="Calibri" w:eastAsia="Calibri" w:hAnsi="Calibri" w:cs="Calibri"/>
                <w:color w:val="1A1A1A"/>
                <w:sz w:val="16"/>
                <w:szCs w:val="16"/>
              </w:rPr>
              <w:t>WAP, GHPP, Clean Heat for All, NYC Accelerator, and SAMES each address distinct segments of the retrofit pipeline — creating an integrated delivery system from weatherization to LL97 compliance navigation.</w:t>
            </w:r>
          </w:p>
        </w:tc>
        <w:tc>
          <w:tcPr>
            <w:tcW w:w="5760" w:type="dxa"/>
            <w:tcBorders>
              <w:top w:val="single" w:sz="4" w:space="0" w:color="C5DDD9"/>
              <w:left w:val="single" w:sz="4" w:space="0" w:color="C5DDD9"/>
              <w:bottom w:val="single" w:sz="4" w:space="0" w:color="C5DDD9"/>
              <w:right w:val="single" w:sz="4" w:space="0" w:color="C5DDD9"/>
            </w:tcBorders>
            <w:shd w:val="clear" w:color="auto" w:fill="EDF4FC"/>
            <w:tcMar>
              <w:top w:w="60" w:type="dxa"/>
              <w:left w:w="110" w:type="dxa"/>
              <w:bottom w:w="65" w:type="dxa"/>
              <w:right w:w="110" w:type="dxa"/>
            </w:tcMar>
          </w:tcPr>
          <w:p w14:paraId="44B029F4" w14:textId="77777777" w:rsidR="008B6C73" w:rsidRDefault="00000000">
            <w:pPr>
              <w:spacing w:after="30"/>
            </w:pPr>
            <w:r>
              <w:rPr>
                <w:rFonts w:ascii="Calibri" w:eastAsia="Calibri" w:hAnsi="Calibri" w:cs="Calibri"/>
                <w:b/>
                <w:bCs/>
                <w:color w:val="2D6A4F"/>
                <w:sz w:val="16"/>
                <w:szCs w:val="16"/>
              </w:rPr>
              <w:t>④ Utility &amp; State Partnership</w:t>
            </w:r>
          </w:p>
          <w:p w14:paraId="354660CA" w14:textId="4C17A5BA" w:rsidR="008B6C73" w:rsidRDefault="00000000">
            <w:r>
              <w:rPr>
                <w:rFonts w:ascii="Calibri" w:eastAsia="Calibri" w:hAnsi="Calibri" w:cs="Calibri"/>
                <w:color w:val="1A1A1A"/>
                <w:sz w:val="16"/>
                <w:szCs w:val="16"/>
              </w:rPr>
              <w:t xml:space="preserve">Con Edison provides incentives through PSC-approved efficiency portfolios; NYSERDA supports </w:t>
            </w:r>
            <w:r w:rsidR="003B72B5">
              <w:rPr>
                <w:rFonts w:ascii="Calibri" w:eastAsia="Calibri" w:hAnsi="Calibri" w:cs="Calibri"/>
                <w:color w:val="1A1A1A"/>
                <w:sz w:val="16"/>
                <w:szCs w:val="16"/>
              </w:rPr>
              <w:t>Flex Tech</w:t>
            </w:r>
            <w:r>
              <w:rPr>
                <w:rFonts w:ascii="Calibri" w:eastAsia="Calibri" w:hAnsi="Calibri" w:cs="Calibri"/>
                <w:color w:val="1A1A1A"/>
                <w:sz w:val="16"/>
                <w:szCs w:val="16"/>
              </w:rPr>
              <w:t xml:space="preserve"> studies and electrification planning. Enterprise Community Partners and CBOs support outreach.</w:t>
            </w:r>
          </w:p>
        </w:tc>
      </w:tr>
    </w:tbl>
    <w:p w14:paraId="48055031" w14:textId="77777777" w:rsidR="008B6C73" w:rsidRDefault="008B6C73">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
        <w:gridCol w:w="9180"/>
      </w:tblGrid>
      <w:tr w:rsidR="008B6C73" w14:paraId="66B23D43" w14:textId="77777777">
        <w:tc>
          <w:tcPr>
            <w:tcW w:w="180" w:type="dxa"/>
            <w:tcBorders>
              <w:top w:val="none" w:sz="0" w:space="0" w:color="FFFFFF"/>
              <w:left w:val="none" w:sz="0" w:space="0" w:color="FFFFFF"/>
              <w:bottom w:val="none" w:sz="0" w:space="0" w:color="FFFFFF"/>
              <w:right w:val="none" w:sz="0" w:space="0" w:color="FFFFFF"/>
            </w:tcBorders>
            <w:shd w:val="clear" w:color="auto" w:fill="2D6A4F"/>
            <w:tcMar>
              <w:top w:w="0" w:type="dxa"/>
              <w:left w:w="0" w:type="dxa"/>
              <w:bottom w:w="0" w:type="dxa"/>
              <w:right w:w="0" w:type="dxa"/>
            </w:tcMar>
          </w:tcPr>
          <w:p w14:paraId="0EE23FD8" w14:textId="77777777" w:rsidR="008B6C73" w:rsidRDefault="008B6C73"/>
        </w:tc>
        <w:tc>
          <w:tcPr>
            <w:tcW w:w="9180" w:type="dxa"/>
            <w:tcBorders>
              <w:top w:val="none" w:sz="0" w:space="0" w:color="FFFFFF"/>
              <w:left w:val="none" w:sz="0" w:space="0" w:color="FFFFFF"/>
              <w:bottom w:val="none" w:sz="0" w:space="0" w:color="FFFFFF"/>
              <w:right w:val="none" w:sz="0" w:space="0" w:color="FFFFFF"/>
            </w:tcBorders>
            <w:shd w:val="clear" w:color="auto" w:fill="FFFFFF"/>
            <w:tcMar>
              <w:top w:w="28" w:type="dxa"/>
              <w:left w:w="110" w:type="dxa"/>
              <w:bottom w:w="28" w:type="dxa"/>
              <w:right w:w="0" w:type="dxa"/>
            </w:tcMar>
          </w:tcPr>
          <w:p w14:paraId="18B8055B" w14:textId="77777777" w:rsidR="008B6C73" w:rsidRDefault="00000000">
            <w:r>
              <w:rPr>
                <w:rFonts w:ascii="Calibri" w:eastAsia="Calibri" w:hAnsi="Calibri" w:cs="Calibri"/>
                <w:b/>
                <w:bCs/>
                <w:color w:val="2D6A4F"/>
                <w:sz w:val="16"/>
                <w:szCs w:val="16"/>
              </w:rPr>
              <w:t>ENABLING CONDITIONS &amp; REPLICATION</w:t>
            </w:r>
          </w:p>
        </w:tc>
      </w:tr>
    </w:tbl>
    <w:p w14:paraId="5EE51EEF" w14:textId="77777777" w:rsidR="008B6C73" w:rsidRDefault="008B6C73">
      <w:pPr>
        <w:spacing w:after="28"/>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55"/>
        <w:gridCol w:w="5220"/>
      </w:tblGrid>
      <w:tr w:rsidR="008B6C73" w14:paraId="3582AD8E" w14:textId="77777777" w:rsidTr="00A71799">
        <w:tc>
          <w:tcPr>
            <w:tcW w:w="4855" w:type="dxa"/>
            <w:tcBorders>
              <w:top w:val="single" w:sz="4" w:space="0" w:color="C5DDD9"/>
              <w:left w:val="single" w:sz="4" w:space="0" w:color="C5DDD9"/>
              <w:bottom w:val="single" w:sz="4" w:space="0" w:color="C5DDD9"/>
              <w:right w:val="single" w:sz="4" w:space="0" w:color="C5DDD9"/>
            </w:tcBorders>
            <w:shd w:val="clear" w:color="auto" w:fill="2D6A4F"/>
            <w:tcMar>
              <w:top w:w="60" w:type="dxa"/>
              <w:left w:w="110" w:type="dxa"/>
              <w:bottom w:w="60" w:type="dxa"/>
              <w:right w:w="110" w:type="dxa"/>
            </w:tcMar>
          </w:tcPr>
          <w:p w14:paraId="16E0B0BC" w14:textId="77777777" w:rsidR="008B6C73" w:rsidRDefault="00000000">
            <w:r>
              <w:rPr>
                <w:rFonts w:ascii="Calibri" w:eastAsia="Calibri" w:hAnsi="Calibri" w:cs="Calibri"/>
                <w:b/>
                <w:bCs/>
                <w:color w:val="FFFFFF"/>
                <w:sz w:val="16"/>
                <w:szCs w:val="16"/>
              </w:rPr>
              <w:t>What Made It Possible</w:t>
            </w:r>
          </w:p>
        </w:tc>
        <w:tc>
          <w:tcPr>
            <w:tcW w:w="5220" w:type="dxa"/>
            <w:tcBorders>
              <w:top w:val="single" w:sz="4" w:space="0" w:color="C5DDD9"/>
              <w:left w:val="single" w:sz="4" w:space="0" w:color="C5DDD9"/>
              <w:bottom w:val="single" w:sz="4" w:space="0" w:color="C5DDD9"/>
              <w:right w:val="single" w:sz="4" w:space="0" w:color="C5DDD9"/>
            </w:tcBorders>
            <w:shd w:val="clear" w:color="auto" w:fill="2D6A4F"/>
            <w:tcMar>
              <w:top w:w="60" w:type="dxa"/>
              <w:left w:w="110" w:type="dxa"/>
              <w:bottom w:w="60" w:type="dxa"/>
              <w:right w:w="110" w:type="dxa"/>
            </w:tcMar>
          </w:tcPr>
          <w:p w14:paraId="44E8E414" w14:textId="77777777" w:rsidR="008B6C73" w:rsidRDefault="00000000">
            <w:r>
              <w:rPr>
                <w:rFonts w:ascii="Calibri" w:eastAsia="Calibri" w:hAnsi="Calibri" w:cs="Calibri"/>
                <w:b/>
                <w:bCs/>
                <w:color w:val="FFFFFF"/>
                <w:sz w:val="16"/>
                <w:szCs w:val="16"/>
              </w:rPr>
              <w:t>Who Can Replicate This</w:t>
            </w:r>
          </w:p>
        </w:tc>
      </w:tr>
      <w:tr w:rsidR="008B6C73" w14:paraId="7E02966A" w14:textId="77777777" w:rsidTr="00A71799">
        <w:tc>
          <w:tcPr>
            <w:tcW w:w="4855"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7148F5B4" w14:textId="77777777" w:rsidR="008B6C73" w:rsidRDefault="00000000">
            <w:r>
              <w:rPr>
                <w:rFonts w:ascii="Calibri" w:eastAsia="Calibri" w:hAnsi="Calibri" w:cs="Calibri"/>
                <w:color w:val="1A1A1A"/>
                <w:sz w:val="16"/>
                <w:szCs w:val="16"/>
              </w:rPr>
              <w:t>HPD's preservation mandate and LL97 compliance requirements create a durable institutional foundation</w:t>
            </w:r>
          </w:p>
        </w:tc>
        <w:tc>
          <w:tcPr>
            <w:tcW w:w="522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1706E16B" w14:textId="77777777" w:rsidR="008B6C73" w:rsidRDefault="00000000">
            <w:r>
              <w:rPr>
                <w:rFonts w:ascii="Calibri" w:eastAsia="Calibri" w:hAnsi="Calibri" w:cs="Calibri"/>
                <w:color w:val="1A1A1A"/>
                <w:sz w:val="16"/>
                <w:szCs w:val="16"/>
              </w:rPr>
              <w:t>Cities with a housing preservation agency able to issue regulatory agreements and set affordability conditions</w:t>
            </w:r>
          </w:p>
        </w:tc>
      </w:tr>
      <w:tr w:rsidR="008B6C73" w14:paraId="6B1170C0" w14:textId="77777777" w:rsidTr="00A71799">
        <w:tc>
          <w:tcPr>
            <w:tcW w:w="4855"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44516AD3" w14:textId="77777777" w:rsidR="008B6C73" w:rsidRDefault="00000000">
            <w:r>
              <w:rPr>
                <w:rFonts w:ascii="Calibri" w:eastAsia="Calibri" w:hAnsi="Calibri" w:cs="Calibri"/>
                <w:color w:val="1A1A1A"/>
                <w:sz w:val="16"/>
                <w:szCs w:val="16"/>
              </w:rPr>
              <w:t>HPD's authority to issue regulatory agreements establishes enforceable eligibility and tenant-protection conditions</w:t>
            </w:r>
          </w:p>
        </w:tc>
        <w:tc>
          <w:tcPr>
            <w:tcW w:w="522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027C067C" w14:textId="77777777" w:rsidR="008B6C73" w:rsidRDefault="00000000">
            <w:r>
              <w:rPr>
                <w:rFonts w:ascii="Calibri" w:eastAsia="Calibri" w:hAnsi="Calibri" w:cs="Calibri"/>
                <w:color w:val="1A1A1A"/>
                <w:sz w:val="16"/>
                <w:szCs w:val="16"/>
              </w:rPr>
              <w:t>Cities where municipal housing agencies can tie energy-upgrade financing to binding regulatory agreements</w:t>
            </w:r>
          </w:p>
        </w:tc>
      </w:tr>
      <w:tr w:rsidR="008B6C73" w14:paraId="100D94E8" w14:textId="77777777" w:rsidTr="00A71799">
        <w:tc>
          <w:tcPr>
            <w:tcW w:w="4855"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171F6E51" w14:textId="77777777" w:rsidR="008B6C73" w:rsidRDefault="00000000">
            <w:r>
              <w:rPr>
                <w:rFonts w:ascii="Calibri" w:eastAsia="Calibri" w:hAnsi="Calibri" w:cs="Calibri"/>
                <w:color w:val="1A1A1A"/>
                <w:sz w:val="16"/>
                <w:szCs w:val="16"/>
              </w:rPr>
              <w:t>Con Edison's PSC-approved efficiency portfolios provide a reliable incentive funding stream</w:t>
            </w:r>
          </w:p>
        </w:tc>
        <w:tc>
          <w:tcPr>
            <w:tcW w:w="522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2BD7C782" w14:textId="77777777" w:rsidR="008B6C73" w:rsidRDefault="00000000">
            <w:r>
              <w:rPr>
                <w:rFonts w:ascii="Calibri" w:eastAsia="Calibri" w:hAnsi="Calibri" w:cs="Calibri"/>
                <w:color w:val="1A1A1A"/>
                <w:sz w:val="16"/>
                <w:szCs w:val="16"/>
              </w:rPr>
              <w:t>Cities where utilities operate PUC- or PSC-approved energy-efficiency portfolios for multifamily buildings</w:t>
            </w:r>
          </w:p>
        </w:tc>
      </w:tr>
      <w:tr w:rsidR="008B6C73" w14:paraId="1A16F5B9" w14:textId="77777777" w:rsidTr="00A71799">
        <w:tc>
          <w:tcPr>
            <w:tcW w:w="4855"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7416311D" w14:textId="1696FEF0" w:rsidR="008B6C73" w:rsidRDefault="00000000">
            <w:r>
              <w:rPr>
                <w:rFonts w:ascii="Calibri" w:eastAsia="Calibri" w:hAnsi="Calibri" w:cs="Calibri"/>
                <w:color w:val="1A1A1A"/>
                <w:sz w:val="16"/>
                <w:szCs w:val="16"/>
              </w:rPr>
              <w:t xml:space="preserve">NYSERDA's Clean Energy Fund and </w:t>
            </w:r>
            <w:r w:rsidR="003B72B5">
              <w:rPr>
                <w:rFonts w:ascii="Calibri" w:eastAsia="Calibri" w:hAnsi="Calibri" w:cs="Calibri"/>
                <w:color w:val="1A1A1A"/>
                <w:sz w:val="16"/>
                <w:szCs w:val="16"/>
              </w:rPr>
              <w:t>Flex Tech</w:t>
            </w:r>
            <w:r>
              <w:rPr>
                <w:rFonts w:ascii="Calibri" w:eastAsia="Calibri" w:hAnsi="Calibri" w:cs="Calibri"/>
                <w:color w:val="1A1A1A"/>
                <w:sz w:val="16"/>
                <w:szCs w:val="16"/>
              </w:rPr>
              <w:t xml:space="preserve"> program support technical studies at no cost to owners</w:t>
            </w:r>
          </w:p>
        </w:tc>
        <w:tc>
          <w:tcPr>
            <w:tcW w:w="522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12672584" w14:textId="77777777" w:rsidR="008B6C73" w:rsidRDefault="00000000">
            <w:r>
              <w:rPr>
                <w:rFonts w:ascii="Calibri" w:eastAsia="Calibri" w:hAnsi="Calibri" w:cs="Calibri"/>
                <w:color w:val="1A1A1A"/>
                <w:sz w:val="16"/>
                <w:szCs w:val="16"/>
              </w:rPr>
              <w:t>Cities in states with active clean energy funds or technical assistance programs</w:t>
            </w:r>
          </w:p>
        </w:tc>
      </w:tr>
      <w:tr w:rsidR="008B6C73" w14:paraId="60F6A2F7" w14:textId="77777777" w:rsidTr="00A71799">
        <w:tc>
          <w:tcPr>
            <w:tcW w:w="4855"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7DDD7998" w14:textId="77777777" w:rsidR="008B6C73" w:rsidRDefault="00000000">
            <w:r>
              <w:rPr>
                <w:rFonts w:ascii="Calibri" w:eastAsia="Calibri" w:hAnsi="Calibri" w:cs="Calibri"/>
                <w:color w:val="1A1A1A"/>
                <w:sz w:val="16"/>
                <w:szCs w:val="16"/>
              </w:rPr>
              <w:t>The IPNA tool enables systematic identification of energy and capital needs across the full HPD portfolio</w:t>
            </w:r>
          </w:p>
        </w:tc>
        <w:tc>
          <w:tcPr>
            <w:tcW w:w="5220" w:type="dxa"/>
            <w:tcBorders>
              <w:top w:val="single" w:sz="4" w:space="0" w:color="C5DDD9"/>
              <w:left w:val="single" w:sz="4" w:space="0" w:color="C5DDD9"/>
              <w:bottom w:val="single" w:sz="4" w:space="0" w:color="C5DDD9"/>
              <w:right w:val="single" w:sz="4" w:space="0" w:color="C5DDD9"/>
            </w:tcBorders>
            <w:shd w:val="clear" w:color="auto" w:fill="FFFFFF"/>
            <w:tcMar>
              <w:top w:w="55" w:type="dxa"/>
              <w:left w:w="110" w:type="dxa"/>
              <w:bottom w:w="55" w:type="dxa"/>
              <w:right w:w="110" w:type="dxa"/>
            </w:tcMar>
          </w:tcPr>
          <w:p w14:paraId="348EAFAF" w14:textId="77777777" w:rsidR="008B6C73" w:rsidRDefault="00000000">
            <w:r>
              <w:rPr>
                <w:rFonts w:ascii="Calibri" w:eastAsia="Calibri" w:hAnsi="Calibri" w:cs="Calibri"/>
                <w:color w:val="1A1A1A"/>
                <w:sz w:val="16"/>
                <w:szCs w:val="16"/>
              </w:rPr>
              <w:t>Cities that develop standardized physical needs assessment tools can efficiently target retrofit investments</w:t>
            </w:r>
          </w:p>
        </w:tc>
      </w:tr>
      <w:tr w:rsidR="008B6C73" w14:paraId="76A8E26A" w14:textId="77777777" w:rsidTr="00A71799">
        <w:tc>
          <w:tcPr>
            <w:tcW w:w="4855"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70D6C820" w14:textId="6E5CCD55" w:rsidR="008B6C73" w:rsidRDefault="00000000">
            <w:r>
              <w:rPr>
                <w:rFonts w:ascii="Calibri" w:eastAsia="Calibri" w:hAnsi="Calibri" w:cs="Calibri"/>
                <w:color w:val="1A1A1A"/>
                <w:sz w:val="16"/>
                <w:szCs w:val="16"/>
              </w:rPr>
              <w:t xml:space="preserve">NYC Accelerator provides a </w:t>
            </w:r>
            <w:r w:rsidR="003B72B5">
              <w:rPr>
                <w:rFonts w:ascii="Calibri" w:eastAsia="Calibri" w:hAnsi="Calibri" w:cs="Calibri"/>
                <w:color w:val="1A1A1A"/>
                <w:sz w:val="16"/>
                <w:szCs w:val="16"/>
              </w:rPr>
              <w:t>single-entry</w:t>
            </w:r>
            <w:r>
              <w:rPr>
                <w:rFonts w:ascii="Calibri" w:eastAsia="Calibri" w:hAnsi="Calibri" w:cs="Calibri"/>
                <w:color w:val="1A1A1A"/>
                <w:sz w:val="16"/>
                <w:szCs w:val="16"/>
              </w:rPr>
              <w:t xml:space="preserve"> point for LL97 compliance support and </w:t>
            </w:r>
            <w:proofErr w:type="gramStart"/>
            <w:r>
              <w:rPr>
                <w:rFonts w:ascii="Calibri" w:eastAsia="Calibri" w:hAnsi="Calibri" w:cs="Calibri"/>
                <w:color w:val="1A1A1A"/>
                <w:sz w:val="16"/>
                <w:szCs w:val="16"/>
              </w:rPr>
              <w:t>retrofit</w:t>
            </w:r>
            <w:proofErr w:type="gramEnd"/>
            <w:r>
              <w:rPr>
                <w:rFonts w:ascii="Calibri" w:eastAsia="Calibri" w:hAnsi="Calibri" w:cs="Calibri"/>
                <w:color w:val="1A1A1A"/>
                <w:sz w:val="16"/>
                <w:szCs w:val="16"/>
              </w:rPr>
              <w:t xml:space="preserve"> planning</w:t>
            </w:r>
          </w:p>
        </w:tc>
        <w:tc>
          <w:tcPr>
            <w:tcW w:w="5220" w:type="dxa"/>
            <w:tcBorders>
              <w:top w:val="single" w:sz="4" w:space="0" w:color="C5DDD9"/>
              <w:left w:val="single" w:sz="4" w:space="0" w:color="C5DDD9"/>
              <w:bottom w:val="single" w:sz="4" w:space="0" w:color="C5DDD9"/>
              <w:right w:val="single" w:sz="4" w:space="0" w:color="C5DDD9"/>
            </w:tcBorders>
            <w:shd w:val="clear" w:color="auto" w:fill="F5F8FC"/>
            <w:tcMar>
              <w:top w:w="55" w:type="dxa"/>
              <w:left w:w="110" w:type="dxa"/>
              <w:bottom w:w="55" w:type="dxa"/>
              <w:right w:w="110" w:type="dxa"/>
            </w:tcMar>
          </w:tcPr>
          <w:p w14:paraId="7AC87120" w14:textId="77777777" w:rsidR="008B6C73" w:rsidRDefault="00000000">
            <w:r>
              <w:rPr>
                <w:rFonts w:ascii="Calibri" w:eastAsia="Calibri" w:hAnsi="Calibri" w:cs="Calibri"/>
                <w:color w:val="1A1A1A"/>
                <w:sz w:val="16"/>
                <w:szCs w:val="16"/>
              </w:rPr>
              <w:t>Cities with building performance standards should pair compliance requirements with a dedicated technical assistance hub</w:t>
            </w:r>
          </w:p>
        </w:tc>
      </w:tr>
    </w:tbl>
    <w:p w14:paraId="0FEE22FA" w14:textId="77777777" w:rsidR="008B6C73" w:rsidRDefault="008B6C73" w:rsidP="008A3698">
      <w:pPr>
        <w:spacing w:after="30"/>
      </w:pPr>
    </w:p>
    <w:sectPr w:rsidR="008B6C73">
      <w:pgSz w:w="12240" w:h="15840"/>
      <w:pgMar w:top="500" w:right="600" w:bottom="500" w:left="6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87D26"/>
    <w:multiLevelType w:val="hybridMultilevel"/>
    <w:tmpl w:val="E0E8E45E"/>
    <w:lvl w:ilvl="0" w:tplc="88128A0C">
      <w:start w:val="1"/>
      <w:numFmt w:val="bullet"/>
      <w:lvlText w:val="●"/>
      <w:lvlJc w:val="left"/>
      <w:pPr>
        <w:ind w:left="720" w:hanging="360"/>
      </w:pPr>
    </w:lvl>
    <w:lvl w:ilvl="1" w:tplc="768A1AAC">
      <w:start w:val="1"/>
      <w:numFmt w:val="bullet"/>
      <w:lvlText w:val="○"/>
      <w:lvlJc w:val="left"/>
      <w:pPr>
        <w:ind w:left="1440" w:hanging="360"/>
      </w:pPr>
    </w:lvl>
    <w:lvl w:ilvl="2" w:tplc="B6D0F082">
      <w:start w:val="1"/>
      <w:numFmt w:val="bullet"/>
      <w:lvlText w:val="■"/>
      <w:lvlJc w:val="left"/>
      <w:pPr>
        <w:ind w:left="2160" w:hanging="360"/>
      </w:pPr>
    </w:lvl>
    <w:lvl w:ilvl="3" w:tplc="5DCE2D70">
      <w:start w:val="1"/>
      <w:numFmt w:val="bullet"/>
      <w:lvlText w:val="●"/>
      <w:lvlJc w:val="left"/>
      <w:pPr>
        <w:ind w:left="2880" w:hanging="360"/>
      </w:pPr>
    </w:lvl>
    <w:lvl w:ilvl="4" w:tplc="8AEE3AE0">
      <w:start w:val="1"/>
      <w:numFmt w:val="bullet"/>
      <w:lvlText w:val="○"/>
      <w:lvlJc w:val="left"/>
      <w:pPr>
        <w:ind w:left="3600" w:hanging="360"/>
      </w:pPr>
    </w:lvl>
    <w:lvl w:ilvl="5" w:tplc="07F21F5A">
      <w:start w:val="1"/>
      <w:numFmt w:val="bullet"/>
      <w:lvlText w:val="■"/>
      <w:lvlJc w:val="left"/>
      <w:pPr>
        <w:ind w:left="4320" w:hanging="360"/>
      </w:pPr>
    </w:lvl>
    <w:lvl w:ilvl="6" w:tplc="033EBC74">
      <w:start w:val="1"/>
      <w:numFmt w:val="bullet"/>
      <w:lvlText w:val="●"/>
      <w:lvlJc w:val="left"/>
      <w:pPr>
        <w:ind w:left="5040" w:hanging="360"/>
      </w:pPr>
    </w:lvl>
    <w:lvl w:ilvl="7" w:tplc="551EE14E">
      <w:start w:val="1"/>
      <w:numFmt w:val="bullet"/>
      <w:lvlText w:val="●"/>
      <w:lvlJc w:val="left"/>
      <w:pPr>
        <w:ind w:left="5760" w:hanging="360"/>
      </w:pPr>
    </w:lvl>
    <w:lvl w:ilvl="8" w:tplc="22A6AA80">
      <w:start w:val="1"/>
      <w:numFmt w:val="bullet"/>
      <w:lvlText w:val="●"/>
      <w:lvlJc w:val="left"/>
      <w:pPr>
        <w:ind w:left="6480" w:hanging="360"/>
      </w:pPr>
    </w:lvl>
  </w:abstractNum>
  <w:num w:numId="1" w16cid:durableId="129768721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C73"/>
    <w:rsid w:val="0005253A"/>
    <w:rsid w:val="000B5DC1"/>
    <w:rsid w:val="003B232E"/>
    <w:rsid w:val="003B72B5"/>
    <w:rsid w:val="005A46B9"/>
    <w:rsid w:val="00791327"/>
    <w:rsid w:val="008A3698"/>
    <w:rsid w:val="008B6C73"/>
    <w:rsid w:val="00A71799"/>
    <w:rsid w:val="00D92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5C03BD"/>
  <w15:docId w15:val="{DF4EEE37-1579-7F42-99F4-150BE56A5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665</Words>
  <Characters>3793</Characters>
  <Application>Microsoft Office Word</Application>
  <DocSecurity>0</DocSecurity>
  <Lines>31</Lines>
  <Paragraphs>8</Paragraphs>
  <ScaleCrop>false</ScaleCrop>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nkd2128</cp:lastModifiedBy>
  <cp:revision>2</cp:revision>
  <dcterms:created xsi:type="dcterms:W3CDTF">2026-07-11T01:21:00Z</dcterms:created>
  <dcterms:modified xsi:type="dcterms:W3CDTF">2026-07-11T01:21:00Z</dcterms:modified>
</cp:coreProperties>
</file>