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8B6C73" w14:paraId="5BA5CF80" w14:textId="77777777">
        <w:tc>
          <w:tcPr>
            <w:tcW w:w="0" w:type="auto"/>
            <w:tcBorders>
              <w:top w:val="none" w:sz="0" w:space="0" w:color="FFFFFF"/>
              <w:left w:val="none" w:sz="0" w:space="0" w:color="FFFFFF"/>
              <w:bottom w:val="none" w:sz="0" w:space="0" w:color="FFFFFF"/>
              <w:right w:val="none" w:sz="0" w:space="0" w:color="FFFFFF"/>
            </w:tcBorders>
            <w:shd w:val="clear" w:color="auto" w:fill="2E5D4B"/>
            <w:tcMar>
              <w:top w:w="20" w:type="dxa"/>
              <w:left w:w="160" w:type="dxa"/>
              <w:bottom w:w="10" w:type="dxa"/>
              <w:right w:w="160" w:type="dxa"/>
            </w:tcMar>
          </w:tcPr>
          <w:p w14:paraId="2923C0BD" w14:textId="77777777" w:rsidR="008B6C73" w:rsidRDefault="00000000">
            <w:r>
              <w:rPr>
                <w:rFonts w:ascii="Calibri" w:eastAsia="Calibri" w:hAnsi="Calibri" w:cs="Calibri"/>
                <w:b/>
                <w:bCs/>
                <w:color w:val="FFFFFF"/>
                <w:sz w:val="46"/>
                <w:szCs w:val="46"/>
              </w:rPr>
              <w:t>NYC Local Law 97</w:t>
            </w:r>
          </w:p>
        </w:tc>
      </w:tr>
      <w:tr w:rsidR="008B6C73" w14:paraId="09C3A9B1" w14:textId="77777777">
        <w:tc>
          <w:tcPr>
            <w:tcW w:w="0" w:type="auto"/>
            <w:tcBorders>
              <w:top w:val="none" w:sz="0" w:space="0" w:color="FFFFFF"/>
              <w:left w:val="none" w:sz="0" w:space="0" w:color="FFFFFF"/>
              <w:bottom w:val="none" w:sz="0" w:space="0" w:color="FFFFFF"/>
              <w:right w:val="none" w:sz="0" w:space="0" w:color="FFFFFF"/>
            </w:tcBorders>
            <w:shd w:val="clear" w:color="auto" w:fill="2E5D4B"/>
            <w:tcMar>
              <w:top w:w="4" w:type="dxa"/>
              <w:left w:w="160" w:type="dxa"/>
              <w:bottom w:w="4" w:type="dxa"/>
              <w:right w:w="160" w:type="dxa"/>
            </w:tcMar>
          </w:tcPr>
          <w:p w14:paraId="03164E3A" w14:textId="77777777" w:rsidR="008B6C73" w:rsidRDefault="00000000">
            <w:r>
              <w:rPr>
                <w:rFonts w:ascii="Calibri" w:eastAsia="Calibri" w:hAnsi="Calibri" w:cs="Calibri"/>
                <w:b/>
                <w:bCs/>
                <w:color w:val="D8F0ED"/>
                <w:sz w:val="16"/>
                <w:szCs w:val="16"/>
              </w:rPr>
              <w:t xml:space="preserve">New York </w:t>
            </w:r>
            <w:proofErr w:type="gramStart"/>
            <w:r>
              <w:rPr>
                <w:rFonts w:ascii="Calibri" w:eastAsia="Calibri" w:hAnsi="Calibri" w:cs="Calibri"/>
                <w:b/>
                <w:bCs/>
                <w:color w:val="D8F0ED"/>
                <w:sz w:val="16"/>
                <w:szCs w:val="16"/>
              </w:rPr>
              <w:t>City  ·</w:t>
            </w:r>
            <w:proofErr w:type="gramEnd"/>
            <w:r>
              <w:rPr>
                <w:rFonts w:ascii="Calibri" w:eastAsia="Calibri" w:hAnsi="Calibri" w:cs="Calibri"/>
                <w:b/>
                <w:bCs/>
                <w:color w:val="D8F0ED"/>
                <w:sz w:val="16"/>
                <w:szCs w:val="16"/>
              </w:rPr>
              <w:t xml:space="preserve">  Enacted </w:t>
            </w:r>
            <w:proofErr w:type="gramStart"/>
            <w:r>
              <w:rPr>
                <w:rFonts w:ascii="Calibri" w:eastAsia="Calibri" w:hAnsi="Calibri" w:cs="Calibri"/>
                <w:b/>
                <w:bCs/>
                <w:color w:val="D8F0ED"/>
                <w:sz w:val="16"/>
                <w:szCs w:val="16"/>
              </w:rPr>
              <w:t>2019  ·</w:t>
            </w:r>
            <w:proofErr w:type="gramEnd"/>
            <w:r>
              <w:rPr>
                <w:rFonts w:ascii="Calibri" w:eastAsia="Calibri" w:hAnsi="Calibri" w:cs="Calibri"/>
                <w:b/>
                <w:bCs/>
                <w:color w:val="D8F0ED"/>
                <w:sz w:val="16"/>
                <w:szCs w:val="16"/>
              </w:rPr>
              <w:t xml:space="preserve">  $268/ton CO₂ </w:t>
            </w:r>
            <w:proofErr w:type="gramStart"/>
            <w:r>
              <w:rPr>
                <w:rFonts w:ascii="Calibri" w:eastAsia="Calibri" w:hAnsi="Calibri" w:cs="Calibri"/>
                <w:b/>
                <w:bCs/>
                <w:color w:val="D8F0ED"/>
                <w:sz w:val="16"/>
                <w:szCs w:val="16"/>
              </w:rPr>
              <w:t>Penalty  ·</w:t>
            </w:r>
            <w:proofErr w:type="gramEnd"/>
            <w:r>
              <w:rPr>
                <w:rFonts w:ascii="Calibri" w:eastAsia="Calibri" w:hAnsi="Calibri" w:cs="Calibri"/>
                <w:b/>
                <w:bCs/>
                <w:color w:val="D8F0ED"/>
                <w:sz w:val="16"/>
                <w:szCs w:val="16"/>
              </w:rPr>
              <w:t xml:space="preserve">  Buildings Over 25,000 sq ft</w:t>
            </w:r>
          </w:p>
        </w:tc>
      </w:tr>
      <w:tr w:rsidR="008B6C73" w14:paraId="7FCC6663" w14:textId="77777777">
        <w:tc>
          <w:tcPr>
            <w:tcW w:w="0" w:type="auto"/>
            <w:tcBorders>
              <w:top w:val="none" w:sz="0" w:space="0" w:color="FFFFFF"/>
              <w:left w:val="none" w:sz="0" w:space="0" w:color="FFFFFF"/>
              <w:bottom w:val="none" w:sz="0" w:space="0" w:color="FFFFFF"/>
              <w:right w:val="none" w:sz="0" w:space="0" w:color="FFFFFF"/>
            </w:tcBorders>
            <w:shd w:val="clear" w:color="auto" w:fill="1B4332"/>
            <w:tcMar>
              <w:top w:w="40" w:type="dxa"/>
              <w:left w:w="160" w:type="dxa"/>
              <w:bottom w:w="40" w:type="dxa"/>
              <w:right w:w="160" w:type="dxa"/>
            </w:tcMar>
          </w:tcPr>
          <w:p w14:paraId="32519BA2" w14:textId="77777777" w:rsidR="008B6C73" w:rsidRDefault="00000000">
            <w:r>
              <w:rPr>
                <w:rFonts w:ascii="Calibri" w:eastAsia="Calibri" w:hAnsi="Calibri" w:cs="Calibri"/>
                <w:b/>
                <w:bCs/>
                <w:color w:val="B7E4C7"/>
                <w:sz w:val="15"/>
                <w:szCs w:val="15"/>
              </w:rPr>
              <w:t xml:space="preserve">Climate Mobilization Act </w:t>
            </w:r>
            <w:proofErr w:type="gramStart"/>
            <w:r>
              <w:rPr>
                <w:rFonts w:ascii="Calibri" w:eastAsia="Calibri" w:hAnsi="Calibri" w:cs="Calibri"/>
                <w:b/>
                <w:bCs/>
                <w:color w:val="B7E4C7"/>
                <w:sz w:val="15"/>
                <w:szCs w:val="15"/>
              </w:rPr>
              <w:t>2019  ·</w:t>
            </w:r>
            <w:proofErr w:type="gramEnd"/>
            <w:r>
              <w:rPr>
                <w:rFonts w:ascii="Calibri" w:eastAsia="Calibri" w:hAnsi="Calibri" w:cs="Calibri"/>
                <w:b/>
                <w:bCs/>
                <w:color w:val="B7E4C7"/>
                <w:sz w:val="15"/>
                <w:szCs w:val="15"/>
              </w:rPr>
              <w:t xml:space="preserve">  $268/ton CO₂ Over </w:t>
            </w:r>
            <w:proofErr w:type="gramStart"/>
            <w:r>
              <w:rPr>
                <w:rFonts w:ascii="Calibri" w:eastAsia="Calibri" w:hAnsi="Calibri" w:cs="Calibri"/>
                <w:b/>
                <w:bCs/>
                <w:color w:val="B7E4C7"/>
                <w:sz w:val="15"/>
                <w:szCs w:val="15"/>
              </w:rPr>
              <w:t>Cap  ·</w:t>
            </w:r>
            <w:proofErr w:type="gramEnd"/>
            <w:r>
              <w:rPr>
                <w:rFonts w:ascii="Calibri" w:eastAsia="Calibri" w:hAnsi="Calibri" w:cs="Calibri"/>
                <w:b/>
                <w:bCs/>
                <w:color w:val="B7E4C7"/>
                <w:sz w:val="15"/>
                <w:szCs w:val="15"/>
              </w:rPr>
              <w:t xml:space="preserve">  Penalties → General Fund</w:t>
            </w:r>
          </w:p>
        </w:tc>
      </w:tr>
    </w:tbl>
    <w:p w14:paraId="5F80DF08" w14:textId="77777777" w:rsidR="008B6C73" w:rsidRDefault="008B6C73">
      <w:pPr>
        <w:spacing w:after="40"/>
      </w:pPr>
    </w:p>
    <w:p w14:paraId="6DF93043" w14:textId="77777777" w:rsidR="008B6C73" w:rsidRDefault="008B6C73">
      <w:pPr>
        <w:pBdr>
          <w:bottom w:val="single" w:sz="6" w:space="1" w:color="C5DDD9"/>
        </w:pBdr>
      </w:pPr>
    </w:p>
    <w:p w14:paraId="0BBD6BEF" w14:textId="77777777" w:rsidR="008B6C73" w:rsidRDefault="008B6C73">
      <w:pPr>
        <w:spacing w:after="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1A0D20EE"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7CE27162"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1624BA56" w14:textId="77777777" w:rsidR="008B6C73" w:rsidRDefault="00000000">
            <w:r>
              <w:rPr>
                <w:rFonts w:ascii="Calibri" w:eastAsia="Calibri" w:hAnsi="Calibri" w:cs="Calibri"/>
                <w:b/>
                <w:bCs/>
                <w:color w:val="2D6A4F"/>
                <w:sz w:val="16"/>
                <w:szCs w:val="16"/>
              </w:rPr>
              <w:t>WHAT IS IT?</w:t>
            </w:r>
          </w:p>
        </w:tc>
      </w:tr>
    </w:tbl>
    <w:p w14:paraId="04B4F9F8" w14:textId="77777777" w:rsidR="008B6C73" w:rsidRDefault="008B6C73">
      <w:pPr>
        <w:spacing w:after="25"/>
      </w:pPr>
    </w:p>
    <w:p w14:paraId="2DE658B7" w14:textId="77777777" w:rsidR="008B6C73" w:rsidRDefault="00000000">
      <w:r>
        <w:rPr>
          <w:rFonts w:ascii="Calibri" w:eastAsia="Calibri" w:hAnsi="Calibri" w:cs="Calibri"/>
          <w:color w:val="1A1A1A"/>
          <w:sz w:val="16"/>
          <w:szCs w:val="16"/>
        </w:rPr>
        <w:t xml:space="preserve">Local Law 97, enacted through New York City's Climate Mobilization Act in 2019, establishes greenhouse gas emissions caps for buildings over 25,000 square feet. Buildings must report annual emissions and pay a penalty of $268 per </w:t>
      </w:r>
      <w:proofErr w:type="spellStart"/>
      <w:r>
        <w:rPr>
          <w:rFonts w:ascii="Calibri" w:eastAsia="Calibri" w:hAnsi="Calibri" w:cs="Calibri"/>
          <w:color w:val="1A1A1A"/>
          <w:sz w:val="16"/>
          <w:szCs w:val="16"/>
        </w:rPr>
        <w:t>tonne</w:t>
      </w:r>
      <w:proofErr w:type="spellEnd"/>
      <w:r>
        <w:rPr>
          <w:rFonts w:ascii="Calibri" w:eastAsia="Calibri" w:hAnsi="Calibri" w:cs="Calibri"/>
          <w:color w:val="1A1A1A"/>
          <w:sz w:val="16"/>
          <w:szCs w:val="16"/>
        </w:rPr>
        <w:t xml:space="preserve"> of CO₂ equivalent over their limit. Two compliance periods apply: 2024–2028 with moderate caps, and 2030–2034 with stricter limits requiring active upgrades. Unlike DC BEPS, LL97 penalties flow to the city's general fund rather than a dedicated affordability fund — a design limitation that reduces the law's direct connection to energy-affordability outcomes. However, LL97 has created a large retrofit pipeline that supports programs like NYCEEC and NYC Accelerator.</w:t>
      </w:r>
    </w:p>
    <w:p w14:paraId="78E6321A"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2F5E5206"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321D168B"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20F69928" w14:textId="77777777" w:rsidR="008B6C73" w:rsidRDefault="00000000">
            <w:r>
              <w:rPr>
                <w:rFonts w:ascii="Calibri" w:eastAsia="Calibri" w:hAnsi="Calibri" w:cs="Calibri"/>
                <w:b/>
                <w:bCs/>
                <w:color w:val="2D6A4F"/>
                <w:sz w:val="16"/>
                <w:szCs w:val="16"/>
              </w:rPr>
              <w:t>EVIDENCE HIGHLIGHTS</w:t>
            </w:r>
          </w:p>
        </w:tc>
      </w:tr>
    </w:tbl>
    <w:p w14:paraId="507D7663"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7060"/>
      </w:tblGrid>
      <w:tr w:rsidR="008B6C73" w14:paraId="1A79C0A7" w14:textId="77777777">
        <w:tc>
          <w:tcPr>
            <w:tcW w:w="2300" w:type="dxa"/>
            <w:tcBorders>
              <w:top w:val="single" w:sz="4" w:space="0" w:color="C5DDD9"/>
              <w:left w:val="single" w:sz="4" w:space="0" w:color="C5DDD9"/>
              <w:bottom w:val="single" w:sz="4" w:space="0" w:color="C5DDD9"/>
              <w:right w:val="single" w:sz="4" w:space="0" w:color="C5DDD9"/>
            </w:tcBorders>
            <w:shd w:val="clear" w:color="auto" w:fill="E8F4F1"/>
            <w:tcMar>
              <w:top w:w="55" w:type="dxa"/>
              <w:left w:w="100" w:type="dxa"/>
              <w:bottom w:w="55" w:type="dxa"/>
              <w:right w:w="100" w:type="dxa"/>
            </w:tcMar>
          </w:tcPr>
          <w:p w14:paraId="7833955E" w14:textId="77777777" w:rsidR="008B6C73" w:rsidRDefault="00000000">
            <w:r>
              <w:rPr>
                <w:rFonts w:ascii="Calibri" w:eastAsia="Calibri" w:hAnsi="Calibri" w:cs="Calibri"/>
                <w:b/>
                <w:bCs/>
                <w:color w:val="1B4332"/>
                <w:sz w:val="16"/>
                <w:szCs w:val="16"/>
              </w:rPr>
              <w:t>NYC Accelerator Scale</w:t>
            </w:r>
          </w:p>
        </w:tc>
        <w:tc>
          <w:tcPr>
            <w:tcW w:w="706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00" w:type="dxa"/>
            </w:tcMar>
          </w:tcPr>
          <w:p w14:paraId="6DF63C72" w14:textId="77777777" w:rsidR="008B6C73" w:rsidRDefault="00000000">
            <w:r>
              <w:rPr>
                <w:rFonts w:ascii="Calibri" w:eastAsia="Calibri" w:hAnsi="Calibri" w:cs="Calibri"/>
                <w:color w:val="1A1A1A"/>
                <w:sz w:val="16"/>
                <w:szCs w:val="16"/>
              </w:rPr>
              <w:t>As of May 2024, NYC Accelerator had engaged 18,200 buildings — including 9,024 covered by LL97 — helping owners navigate compliance, financing, and retrofit planning</w:t>
            </w:r>
          </w:p>
        </w:tc>
      </w:tr>
      <w:tr w:rsidR="008B6C73" w14:paraId="3328A45C" w14:textId="77777777">
        <w:tc>
          <w:tcPr>
            <w:tcW w:w="2300" w:type="dxa"/>
            <w:tcBorders>
              <w:top w:val="single" w:sz="4" w:space="0" w:color="C5DDD9"/>
              <w:left w:val="single" w:sz="4" w:space="0" w:color="C5DDD9"/>
              <w:bottom w:val="single" w:sz="4" w:space="0" w:color="C5DDD9"/>
              <w:right w:val="single" w:sz="4" w:space="0" w:color="C5DDD9"/>
            </w:tcBorders>
            <w:shd w:val="clear" w:color="auto" w:fill="D4EBE6"/>
            <w:tcMar>
              <w:top w:w="55" w:type="dxa"/>
              <w:left w:w="100" w:type="dxa"/>
              <w:bottom w:w="55" w:type="dxa"/>
              <w:right w:w="100" w:type="dxa"/>
            </w:tcMar>
          </w:tcPr>
          <w:p w14:paraId="4BE0750C" w14:textId="77777777" w:rsidR="008B6C73" w:rsidRDefault="00000000">
            <w:r>
              <w:rPr>
                <w:rFonts w:ascii="Calibri" w:eastAsia="Calibri" w:hAnsi="Calibri" w:cs="Calibri"/>
                <w:b/>
                <w:bCs/>
                <w:color w:val="1B4332"/>
                <w:sz w:val="16"/>
                <w:szCs w:val="16"/>
              </w:rPr>
              <w:t>Affordable Housing Impact</w:t>
            </w:r>
          </w:p>
        </w:tc>
        <w:tc>
          <w:tcPr>
            <w:tcW w:w="706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00" w:type="dxa"/>
            </w:tcMar>
          </w:tcPr>
          <w:p w14:paraId="7CF737E7" w14:textId="77777777" w:rsidR="008B6C73" w:rsidRDefault="00000000">
            <w:r>
              <w:rPr>
                <w:rFonts w:ascii="Calibri" w:eastAsia="Calibri" w:hAnsi="Calibri" w:cs="Calibri"/>
                <w:color w:val="1A1A1A"/>
                <w:sz w:val="16"/>
                <w:szCs w:val="16"/>
              </w:rPr>
              <w:t>10,630 affordable housing buildings reached through NYC Accelerator. HPD multifamily programs require no rent increases under LL97-linked compliance work</w:t>
            </w:r>
          </w:p>
        </w:tc>
      </w:tr>
      <w:tr w:rsidR="008B6C73" w14:paraId="1322D984" w14:textId="77777777">
        <w:tc>
          <w:tcPr>
            <w:tcW w:w="2300" w:type="dxa"/>
            <w:tcBorders>
              <w:top w:val="single" w:sz="4" w:space="0" w:color="C5DDD9"/>
              <w:left w:val="single" w:sz="4" w:space="0" w:color="C5DDD9"/>
              <w:bottom w:val="single" w:sz="4" w:space="0" w:color="C5DDD9"/>
              <w:right w:val="single" w:sz="4" w:space="0" w:color="C5DDD9"/>
            </w:tcBorders>
            <w:shd w:val="clear" w:color="auto" w:fill="E8F4F1"/>
            <w:tcMar>
              <w:top w:w="55" w:type="dxa"/>
              <w:left w:w="100" w:type="dxa"/>
              <w:bottom w:w="55" w:type="dxa"/>
              <w:right w:w="100" w:type="dxa"/>
            </w:tcMar>
          </w:tcPr>
          <w:p w14:paraId="3936389C" w14:textId="77777777" w:rsidR="008B6C73" w:rsidRDefault="00000000">
            <w:r>
              <w:rPr>
                <w:rFonts w:ascii="Calibri" w:eastAsia="Calibri" w:hAnsi="Calibri" w:cs="Calibri"/>
                <w:b/>
                <w:bCs/>
                <w:color w:val="1B4332"/>
                <w:sz w:val="16"/>
                <w:szCs w:val="16"/>
              </w:rPr>
              <w:t>NYCEEC Pipeline</w:t>
            </w:r>
          </w:p>
        </w:tc>
        <w:tc>
          <w:tcPr>
            <w:tcW w:w="706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00" w:type="dxa"/>
            </w:tcMar>
          </w:tcPr>
          <w:p w14:paraId="702694AE" w14:textId="77777777" w:rsidR="008B6C73" w:rsidRDefault="00000000">
            <w:r>
              <w:rPr>
                <w:rFonts w:ascii="Calibri" w:eastAsia="Calibri" w:hAnsi="Calibri" w:cs="Calibri"/>
                <w:color w:val="1A1A1A"/>
                <w:sz w:val="16"/>
                <w:szCs w:val="16"/>
              </w:rPr>
              <w:t>LL97 compliance pressure significantly increased NYCEEC's retrofit lending pipeline, driving predevelopment financing for affordable housing upgrades</w:t>
            </w:r>
          </w:p>
        </w:tc>
      </w:tr>
    </w:tbl>
    <w:p w14:paraId="3AFF4BA2"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1395B0D9"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6F0565E8"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3D23703D" w14:textId="77777777" w:rsidR="008B6C73" w:rsidRDefault="00000000">
            <w:r>
              <w:rPr>
                <w:rFonts w:ascii="Calibri" w:eastAsia="Calibri" w:hAnsi="Calibri" w:cs="Calibri"/>
                <w:b/>
                <w:bCs/>
                <w:color w:val="2D6A4F"/>
                <w:sz w:val="16"/>
                <w:szCs w:val="16"/>
              </w:rPr>
              <w:t>HOW IT WORKS</w:t>
            </w:r>
          </w:p>
        </w:tc>
      </w:tr>
    </w:tbl>
    <w:p w14:paraId="70AE42C1"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6131DC51" w14:textId="77777777">
        <w:tc>
          <w:tcPr>
            <w:tcW w:w="4680" w:type="dxa"/>
            <w:tcBorders>
              <w:top w:val="single" w:sz="4" w:space="0" w:color="C5DDD9"/>
              <w:left w:val="single" w:sz="4" w:space="0" w:color="C5DDD9"/>
              <w:bottom w:val="single" w:sz="4" w:space="0" w:color="C5DDD9"/>
              <w:right w:val="single" w:sz="4" w:space="0" w:color="C5DDD9"/>
            </w:tcBorders>
            <w:shd w:val="clear" w:color="auto" w:fill="EDF4FC"/>
            <w:tcMar>
              <w:top w:w="60" w:type="dxa"/>
              <w:left w:w="110" w:type="dxa"/>
              <w:bottom w:w="65" w:type="dxa"/>
              <w:right w:w="110" w:type="dxa"/>
            </w:tcMar>
          </w:tcPr>
          <w:p w14:paraId="6843E2B8" w14:textId="77777777" w:rsidR="008B6C73" w:rsidRDefault="00000000">
            <w:pPr>
              <w:spacing w:after="30"/>
            </w:pPr>
            <w:r>
              <w:rPr>
                <w:rFonts w:ascii="Calibri" w:eastAsia="Calibri" w:hAnsi="Calibri" w:cs="Calibri"/>
                <w:b/>
                <w:bCs/>
                <w:color w:val="2D6A4F"/>
                <w:sz w:val="16"/>
                <w:szCs w:val="16"/>
              </w:rPr>
              <w:t>① Emissions Cap</w:t>
            </w:r>
          </w:p>
          <w:p w14:paraId="0F5D8962" w14:textId="77777777" w:rsidR="008B6C73" w:rsidRDefault="00000000">
            <w:r>
              <w:rPr>
                <w:rFonts w:ascii="Calibri" w:eastAsia="Calibri" w:hAnsi="Calibri" w:cs="Calibri"/>
                <w:color w:val="1A1A1A"/>
                <w:sz w:val="16"/>
                <w:szCs w:val="16"/>
              </w:rPr>
              <w:t>Buildings &gt;25,000 sq ft must stay under CO₂ intensity limits set per building type. Period 1: 2024–2028 (moderate). Period 2: 2030–2034 (strict).</w:t>
            </w:r>
          </w:p>
        </w:tc>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60" w:type="dxa"/>
              <w:left w:w="110" w:type="dxa"/>
              <w:bottom w:w="65" w:type="dxa"/>
              <w:right w:w="110" w:type="dxa"/>
            </w:tcMar>
          </w:tcPr>
          <w:p w14:paraId="126C3498" w14:textId="77777777" w:rsidR="008B6C73" w:rsidRDefault="00000000">
            <w:pPr>
              <w:spacing w:after="30"/>
            </w:pPr>
            <w:r>
              <w:rPr>
                <w:rFonts w:ascii="Calibri" w:eastAsia="Calibri" w:hAnsi="Calibri" w:cs="Calibri"/>
                <w:b/>
                <w:bCs/>
                <w:color w:val="2D6A4F"/>
                <w:sz w:val="16"/>
                <w:szCs w:val="16"/>
              </w:rPr>
              <w:t>② Annual Reporting</w:t>
            </w:r>
          </w:p>
          <w:p w14:paraId="5C2A6357" w14:textId="77777777" w:rsidR="008B6C73" w:rsidRDefault="00000000">
            <w:r>
              <w:rPr>
                <w:rFonts w:ascii="Calibri" w:eastAsia="Calibri" w:hAnsi="Calibri" w:cs="Calibri"/>
                <w:color w:val="1A1A1A"/>
                <w:sz w:val="16"/>
                <w:szCs w:val="16"/>
              </w:rPr>
              <w:t>Building owners report emissions annually to NYC Dept. of Buildings. Compliance tracked through mandatory benchmarking and energy audits.</w:t>
            </w:r>
          </w:p>
        </w:tc>
      </w:tr>
      <w:tr w:rsidR="008B6C73" w14:paraId="726A5113" w14:textId="77777777">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60" w:type="dxa"/>
              <w:left w:w="110" w:type="dxa"/>
              <w:bottom w:w="65" w:type="dxa"/>
              <w:right w:w="110" w:type="dxa"/>
            </w:tcMar>
          </w:tcPr>
          <w:p w14:paraId="50DDF5DA" w14:textId="77777777" w:rsidR="008B6C73" w:rsidRDefault="00000000">
            <w:pPr>
              <w:spacing w:after="30"/>
            </w:pPr>
            <w:r>
              <w:rPr>
                <w:rFonts w:ascii="Calibri" w:eastAsia="Calibri" w:hAnsi="Calibri" w:cs="Calibri"/>
                <w:b/>
                <w:bCs/>
                <w:color w:val="2D6A4F"/>
                <w:sz w:val="16"/>
                <w:szCs w:val="16"/>
              </w:rPr>
              <w:t>③ $268/ton Penalty</w:t>
            </w:r>
          </w:p>
          <w:p w14:paraId="6E2D91A5" w14:textId="77777777" w:rsidR="008B6C73" w:rsidRDefault="00000000">
            <w:r>
              <w:rPr>
                <w:rFonts w:ascii="Calibri" w:eastAsia="Calibri" w:hAnsi="Calibri" w:cs="Calibri"/>
                <w:color w:val="1A1A1A"/>
                <w:sz w:val="16"/>
                <w:szCs w:val="16"/>
              </w:rPr>
              <w:t xml:space="preserve">Non-compliant buildings pay $268 per </w:t>
            </w:r>
            <w:proofErr w:type="spellStart"/>
            <w:r>
              <w:rPr>
                <w:rFonts w:ascii="Calibri" w:eastAsia="Calibri" w:hAnsi="Calibri" w:cs="Calibri"/>
                <w:color w:val="1A1A1A"/>
                <w:sz w:val="16"/>
                <w:szCs w:val="16"/>
              </w:rPr>
              <w:t>tonne</w:t>
            </w:r>
            <w:proofErr w:type="spellEnd"/>
            <w:r>
              <w:rPr>
                <w:rFonts w:ascii="Calibri" w:eastAsia="Calibri" w:hAnsi="Calibri" w:cs="Calibri"/>
                <w:color w:val="1A1A1A"/>
                <w:sz w:val="16"/>
                <w:szCs w:val="16"/>
              </w:rPr>
              <w:t xml:space="preserve"> of CO₂ over their limit. Penalties flow into NYC general fund — not a dedicated climate or affordability fund.</w:t>
            </w:r>
          </w:p>
        </w:tc>
        <w:tc>
          <w:tcPr>
            <w:tcW w:w="4680" w:type="dxa"/>
            <w:tcBorders>
              <w:top w:val="single" w:sz="4" w:space="0" w:color="C5DDD9"/>
              <w:left w:val="single" w:sz="4" w:space="0" w:color="C5DDD9"/>
              <w:bottom w:val="single" w:sz="4" w:space="0" w:color="C5DDD9"/>
              <w:right w:val="single" w:sz="4" w:space="0" w:color="C5DDD9"/>
            </w:tcBorders>
            <w:shd w:val="clear" w:color="auto" w:fill="EDF4FC"/>
            <w:tcMar>
              <w:top w:w="60" w:type="dxa"/>
              <w:left w:w="110" w:type="dxa"/>
              <w:bottom w:w="65" w:type="dxa"/>
              <w:right w:w="110" w:type="dxa"/>
            </w:tcMar>
          </w:tcPr>
          <w:p w14:paraId="653964E5" w14:textId="77777777" w:rsidR="008B6C73" w:rsidRDefault="00000000">
            <w:pPr>
              <w:spacing w:after="30"/>
            </w:pPr>
            <w:r>
              <w:rPr>
                <w:rFonts w:ascii="Calibri" w:eastAsia="Calibri" w:hAnsi="Calibri" w:cs="Calibri"/>
                <w:b/>
                <w:bCs/>
                <w:color w:val="2D6A4F"/>
                <w:sz w:val="16"/>
                <w:szCs w:val="16"/>
              </w:rPr>
              <w:t>④ Retrofit Pipeline</w:t>
            </w:r>
          </w:p>
          <w:p w14:paraId="65E08C11" w14:textId="77777777" w:rsidR="008B6C73" w:rsidRDefault="00000000">
            <w:r>
              <w:rPr>
                <w:rFonts w:ascii="Calibri" w:eastAsia="Calibri" w:hAnsi="Calibri" w:cs="Calibri"/>
                <w:color w:val="1A1A1A"/>
                <w:sz w:val="16"/>
                <w:szCs w:val="16"/>
              </w:rPr>
              <w:t>Compliance pressure drives demand for NYC Accelerator, NYCEEC financing, and HPD multifamily upgrade programs. Law has created a large green retrofit market.</w:t>
            </w:r>
          </w:p>
        </w:tc>
      </w:tr>
    </w:tbl>
    <w:p w14:paraId="73B52B21"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0EB632E5"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08447A1E"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460D7E61" w14:textId="77777777" w:rsidR="008B6C73" w:rsidRDefault="00000000">
            <w:r>
              <w:rPr>
                <w:rFonts w:ascii="Calibri" w:eastAsia="Calibri" w:hAnsi="Calibri" w:cs="Calibri"/>
                <w:b/>
                <w:bCs/>
                <w:color w:val="2D6A4F"/>
                <w:sz w:val="16"/>
                <w:szCs w:val="16"/>
              </w:rPr>
              <w:t>ENABLING CONDITIONS &amp; REPLICATION</w:t>
            </w:r>
          </w:p>
        </w:tc>
      </w:tr>
    </w:tbl>
    <w:p w14:paraId="7ECB44FE"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5E61195D" w14:textId="77777777">
        <w:tc>
          <w:tcPr>
            <w:tcW w:w="4680" w:type="dxa"/>
            <w:tcBorders>
              <w:top w:val="single" w:sz="4" w:space="0" w:color="C5DDD9"/>
              <w:left w:val="single" w:sz="4" w:space="0" w:color="C5DDD9"/>
              <w:bottom w:val="single" w:sz="4" w:space="0" w:color="C5DDD9"/>
              <w:right w:val="single" w:sz="4" w:space="0" w:color="C5DDD9"/>
            </w:tcBorders>
            <w:shd w:val="clear" w:color="auto" w:fill="2D6A4F"/>
            <w:tcMar>
              <w:top w:w="60" w:type="dxa"/>
              <w:left w:w="110" w:type="dxa"/>
              <w:bottom w:w="60" w:type="dxa"/>
              <w:right w:w="110" w:type="dxa"/>
            </w:tcMar>
          </w:tcPr>
          <w:p w14:paraId="5722C141" w14:textId="77777777" w:rsidR="008B6C73" w:rsidRDefault="00000000">
            <w:r>
              <w:rPr>
                <w:rFonts w:ascii="Calibri" w:eastAsia="Calibri" w:hAnsi="Calibri" w:cs="Calibri"/>
                <w:b/>
                <w:bCs/>
                <w:color w:val="FFFFFF"/>
                <w:sz w:val="16"/>
                <w:szCs w:val="16"/>
              </w:rPr>
              <w:t>What Made It Possible</w:t>
            </w:r>
          </w:p>
        </w:tc>
        <w:tc>
          <w:tcPr>
            <w:tcW w:w="4680" w:type="dxa"/>
            <w:tcBorders>
              <w:top w:val="single" w:sz="4" w:space="0" w:color="C5DDD9"/>
              <w:left w:val="single" w:sz="4" w:space="0" w:color="C5DDD9"/>
              <w:bottom w:val="single" w:sz="4" w:space="0" w:color="C5DDD9"/>
              <w:right w:val="single" w:sz="4" w:space="0" w:color="C5DDD9"/>
            </w:tcBorders>
            <w:shd w:val="clear" w:color="auto" w:fill="2D6A4F"/>
            <w:tcMar>
              <w:top w:w="60" w:type="dxa"/>
              <w:left w:w="110" w:type="dxa"/>
              <w:bottom w:w="60" w:type="dxa"/>
              <w:right w:w="110" w:type="dxa"/>
            </w:tcMar>
          </w:tcPr>
          <w:p w14:paraId="6B5CB38D" w14:textId="77777777" w:rsidR="008B6C73" w:rsidRDefault="00000000">
            <w:r>
              <w:rPr>
                <w:rFonts w:ascii="Calibri" w:eastAsia="Calibri" w:hAnsi="Calibri" w:cs="Calibri"/>
                <w:b/>
                <w:bCs/>
                <w:color w:val="FFFFFF"/>
                <w:sz w:val="16"/>
                <w:szCs w:val="16"/>
              </w:rPr>
              <w:t>Who Can Replicate This</w:t>
            </w:r>
          </w:p>
        </w:tc>
      </w:tr>
      <w:tr w:rsidR="008B6C73" w14:paraId="492108C1" w14:textId="77777777">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4E16E96A" w14:textId="77777777" w:rsidR="008B6C73" w:rsidRDefault="00000000">
            <w:r>
              <w:rPr>
                <w:rFonts w:ascii="Calibri" w:eastAsia="Calibri" w:hAnsi="Calibri" w:cs="Calibri"/>
                <w:color w:val="1A1A1A"/>
                <w:sz w:val="16"/>
                <w:szCs w:val="16"/>
              </w:rPr>
              <w:t>NYC's Climate Mobilization Act 2019 provided the statutory basis enabled by NY State's CLCPA</w:t>
            </w:r>
          </w:p>
        </w:tc>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60055F2C" w14:textId="77777777" w:rsidR="008B6C73" w:rsidRDefault="00000000">
            <w:r>
              <w:rPr>
                <w:rFonts w:ascii="Calibri" w:eastAsia="Calibri" w:hAnsi="Calibri" w:cs="Calibri"/>
                <w:color w:val="1A1A1A"/>
                <w:sz w:val="16"/>
                <w:szCs w:val="16"/>
              </w:rPr>
              <w:t>Key design lesson: direct penalties to a dedicated reinvestment fund (DC model) rather than general budget (NYC model)</w:t>
            </w:r>
          </w:p>
        </w:tc>
      </w:tr>
      <w:tr w:rsidR="008B6C73" w14:paraId="1E4B31A9" w14:textId="77777777">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1359B1ED" w14:textId="77777777" w:rsidR="008B6C73" w:rsidRDefault="00000000">
            <w:r>
              <w:rPr>
                <w:rFonts w:ascii="Calibri" w:eastAsia="Calibri" w:hAnsi="Calibri" w:cs="Calibri"/>
                <w:color w:val="1A1A1A"/>
                <w:sz w:val="16"/>
                <w:szCs w:val="16"/>
              </w:rPr>
              <w:t>LL97 created sustained retrofit demand that supports NYCEEC, NYC Accelerator, and HPD programs</w:t>
            </w:r>
          </w:p>
        </w:tc>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730B9475" w14:textId="77777777" w:rsidR="008B6C73" w:rsidRDefault="00000000">
            <w:r>
              <w:rPr>
                <w:rFonts w:ascii="Calibri" w:eastAsia="Calibri" w:hAnsi="Calibri" w:cs="Calibri"/>
                <w:color w:val="1A1A1A"/>
                <w:sz w:val="16"/>
                <w:szCs w:val="16"/>
              </w:rPr>
              <w:t>Cities with large building stock should pair performance standards with dedicated technical assistance programs</w:t>
            </w:r>
          </w:p>
        </w:tc>
      </w:tr>
      <w:tr w:rsidR="008B6C73" w14:paraId="2CB1DDB8" w14:textId="77777777">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45BCDC43" w14:textId="77777777" w:rsidR="008B6C73" w:rsidRDefault="00000000">
            <w:r>
              <w:rPr>
                <w:rFonts w:ascii="Calibri" w:eastAsia="Calibri" w:hAnsi="Calibri" w:cs="Calibri"/>
                <w:color w:val="1A1A1A"/>
                <w:sz w:val="16"/>
                <w:szCs w:val="16"/>
              </w:rPr>
              <w:t>Compliance pressure from $268/ton penalty creates strong market incentive for building upgrades</w:t>
            </w:r>
          </w:p>
        </w:tc>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795AD532" w14:textId="77777777" w:rsidR="008B6C73" w:rsidRDefault="00000000">
            <w:r>
              <w:rPr>
                <w:rFonts w:ascii="Calibri" w:eastAsia="Calibri" w:hAnsi="Calibri" w:cs="Calibri"/>
                <w:color w:val="1A1A1A"/>
                <w:sz w:val="16"/>
                <w:szCs w:val="16"/>
              </w:rPr>
              <w:t>Cities should pair compliance mandates with financing infrastructure to ensure upgrades are financially feasible</w:t>
            </w:r>
          </w:p>
        </w:tc>
      </w:tr>
      <w:tr w:rsidR="008B6C73" w14:paraId="54598DDD" w14:textId="77777777">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3E93ADBE" w14:textId="77777777" w:rsidR="008B6C73" w:rsidRDefault="00000000">
            <w:r>
              <w:rPr>
                <w:rFonts w:ascii="Calibri" w:eastAsia="Calibri" w:hAnsi="Calibri" w:cs="Calibri"/>
                <w:color w:val="1A1A1A"/>
                <w:sz w:val="16"/>
                <w:szCs w:val="16"/>
              </w:rPr>
              <w:t>NYC Accelerator provides technical assistance to building owners navigating compliance pathways</w:t>
            </w:r>
          </w:p>
        </w:tc>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427D19F4" w14:textId="77777777" w:rsidR="008B6C73" w:rsidRDefault="00000000">
            <w:r>
              <w:rPr>
                <w:rFonts w:ascii="Calibri" w:eastAsia="Calibri" w:hAnsi="Calibri" w:cs="Calibri"/>
                <w:color w:val="1A1A1A"/>
                <w:sz w:val="16"/>
                <w:szCs w:val="16"/>
              </w:rPr>
              <w:t>Cities should develop or fund a technical assistance hub before or alongside BPS enforcement</w:t>
            </w:r>
          </w:p>
        </w:tc>
      </w:tr>
    </w:tbl>
    <w:p w14:paraId="0AA44A87" w14:textId="77777777" w:rsidR="008B6C73" w:rsidRDefault="008B6C73">
      <w:pPr>
        <w:spacing w:after="30"/>
      </w:pPr>
    </w:p>
    <w:p w14:paraId="5BCBDE74" w14:textId="77777777" w:rsidR="008B6C73" w:rsidRDefault="00000000">
      <w:r>
        <w:br w:type="page"/>
      </w:r>
    </w:p>
    <w:sectPr w:rsidR="008B6C73">
      <w:pgSz w:w="12240" w:h="15840"/>
      <w:pgMar w:top="500" w:right="600" w:bottom="500" w:left="6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87D26"/>
    <w:multiLevelType w:val="hybridMultilevel"/>
    <w:tmpl w:val="E0E8E45E"/>
    <w:lvl w:ilvl="0" w:tplc="88128A0C">
      <w:start w:val="1"/>
      <w:numFmt w:val="bullet"/>
      <w:lvlText w:val="●"/>
      <w:lvlJc w:val="left"/>
      <w:pPr>
        <w:ind w:left="720" w:hanging="360"/>
      </w:pPr>
    </w:lvl>
    <w:lvl w:ilvl="1" w:tplc="768A1AAC">
      <w:start w:val="1"/>
      <w:numFmt w:val="bullet"/>
      <w:lvlText w:val="○"/>
      <w:lvlJc w:val="left"/>
      <w:pPr>
        <w:ind w:left="1440" w:hanging="360"/>
      </w:pPr>
    </w:lvl>
    <w:lvl w:ilvl="2" w:tplc="B6D0F082">
      <w:start w:val="1"/>
      <w:numFmt w:val="bullet"/>
      <w:lvlText w:val="■"/>
      <w:lvlJc w:val="left"/>
      <w:pPr>
        <w:ind w:left="2160" w:hanging="360"/>
      </w:pPr>
    </w:lvl>
    <w:lvl w:ilvl="3" w:tplc="5DCE2D70">
      <w:start w:val="1"/>
      <w:numFmt w:val="bullet"/>
      <w:lvlText w:val="●"/>
      <w:lvlJc w:val="left"/>
      <w:pPr>
        <w:ind w:left="2880" w:hanging="360"/>
      </w:pPr>
    </w:lvl>
    <w:lvl w:ilvl="4" w:tplc="8AEE3AE0">
      <w:start w:val="1"/>
      <w:numFmt w:val="bullet"/>
      <w:lvlText w:val="○"/>
      <w:lvlJc w:val="left"/>
      <w:pPr>
        <w:ind w:left="3600" w:hanging="360"/>
      </w:pPr>
    </w:lvl>
    <w:lvl w:ilvl="5" w:tplc="07F21F5A">
      <w:start w:val="1"/>
      <w:numFmt w:val="bullet"/>
      <w:lvlText w:val="■"/>
      <w:lvlJc w:val="left"/>
      <w:pPr>
        <w:ind w:left="4320" w:hanging="360"/>
      </w:pPr>
    </w:lvl>
    <w:lvl w:ilvl="6" w:tplc="033EBC74">
      <w:start w:val="1"/>
      <w:numFmt w:val="bullet"/>
      <w:lvlText w:val="●"/>
      <w:lvlJc w:val="left"/>
      <w:pPr>
        <w:ind w:left="5040" w:hanging="360"/>
      </w:pPr>
    </w:lvl>
    <w:lvl w:ilvl="7" w:tplc="551EE14E">
      <w:start w:val="1"/>
      <w:numFmt w:val="bullet"/>
      <w:lvlText w:val="●"/>
      <w:lvlJc w:val="left"/>
      <w:pPr>
        <w:ind w:left="5760" w:hanging="360"/>
      </w:pPr>
    </w:lvl>
    <w:lvl w:ilvl="8" w:tplc="22A6AA80">
      <w:start w:val="1"/>
      <w:numFmt w:val="bullet"/>
      <w:lvlText w:val="●"/>
      <w:lvlJc w:val="left"/>
      <w:pPr>
        <w:ind w:left="6480" w:hanging="360"/>
      </w:pPr>
    </w:lvl>
  </w:abstractNum>
  <w:num w:numId="1" w16cid:durableId="129768721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C73"/>
    <w:rsid w:val="0005253A"/>
    <w:rsid w:val="000B5DC1"/>
    <w:rsid w:val="003B232E"/>
    <w:rsid w:val="003B72B5"/>
    <w:rsid w:val="005A46B9"/>
    <w:rsid w:val="00791327"/>
    <w:rsid w:val="008B6C73"/>
    <w:rsid w:val="00A71799"/>
    <w:rsid w:val="00D9295B"/>
    <w:rsid w:val="00F82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5C03BD"/>
  <w15:docId w15:val="{DF4EEE37-1579-7F42-99F4-150BE56A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458</Words>
  <Characters>2616</Characters>
  <Application>Microsoft Office Word</Application>
  <DocSecurity>0</DocSecurity>
  <Lines>21</Lines>
  <Paragraphs>6</Paragraphs>
  <ScaleCrop>false</ScaleCrop>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nkd2128</cp:lastModifiedBy>
  <cp:revision>2</cp:revision>
  <dcterms:created xsi:type="dcterms:W3CDTF">2026-07-11T01:16:00Z</dcterms:created>
  <dcterms:modified xsi:type="dcterms:W3CDTF">2026-07-11T01:16:00Z</dcterms:modified>
</cp:coreProperties>
</file>