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E129BC" w14:textId="77777777" w:rsidR="008B6C73" w:rsidRDefault="008B6C73">
      <w:pPr>
        <w:spacing w:after="30"/>
      </w:pPr>
    </w:p>
    <w:p w14:paraId="070ABF62" w14:textId="456ECDC1" w:rsidR="008B6C73" w:rsidRDefault="008B6C7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7A7B7234"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50" w:type="dxa"/>
              <w:left w:w="160" w:type="dxa"/>
              <w:bottom w:w="20" w:type="dxa"/>
              <w:right w:w="160" w:type="dxa"/>
            </w:tcMar>
          </w:tcPr>
          <w:p w14:paraId="425CBAEA" w14:textId="77777777" w:rsidR="008B6C73" w:rsidRDefault="00000000">
            <w:r>
              <w:rPr>
                <w:rFonts w:ascii="Calibri" w:eastAsia="Calibri" w:hAnsi="Calibri" w:cs="Calibri"/>
                <w:b/>
                <w:bCs/>
                <w:color w:val="BBCFCC"/>
                <w:sz w:val="13"/>
                <w:szCs w:val="13"/>
              </w:rPr>
              <w:t xml:space="preserve">PATHWAY </w:t>
            </w:r>
            <w:proofErr w:type="gramStart"/>
            <w:r>
              <w:rPr>
                <w:rFonts w:ascii="Calibri" w:eastAsia="Calibri" w:hAnsi="Calibri" w:cs="Calibri"/>
                <w:b/>
                <w:bCs/>
                <w:color w:val="BBCFCC"/>
                <w:sz w:val="13"/>
                <w:szCs w:val="13"/>
              </w:rPr>
              <w:t>1.2  ·</w:t>
            </w:r>
            <w:proofErr w:type="gramEnd"/>
            <w:r>
              <w:rPr>
                <w:rFonts w:ascii="Calibri" w:eastAsia="Calibri" w:hAnsi="Calibri" w:cs="Calibri"/>
                <w:b/>
                <w:bCs/>
                <w:color w:val="BBCFCC"/>
                <w:sz w:val="13"/>
                <w:szCs w:val="13"/>
              </w:rPr>
              <w:t xml:space="preserve">  UNIVERSAL PATHWAY — COMMUNITY NAVIGATOR NETWORKS</w:t>
            </w:r>
          </w:p>
        </w:tc>
      </w:tr>
      <w:tr w:rsidR="008B6C73" w14:paraId="63CE0BC7"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20" w:type="dxa"/>
              <w:left w:w="160" w:type="dxa"/>
              <w:bottom w:w="10" w:type="dxa"/>
              <w:right w:w="160" w:type="dxa"/>
            </w:tcMar>
          </w:tcPr>
          <w:p w14:paraId="6CD934DE" w14:textId="77777777" w:rsidR="008B6C73" w:rsidRDefault="00000000">
            <w:proofErr w:type="spellStart"/>
            <w:r>
              <w:rPr>
                <w:rFonts w:ascii="Calibri" w:eastAsia="Calibri" w:hAnsi="Calibri" w:cs="Calibri"/>
                <w:b/>
                <w:bCs/>
                <w:color w:val="FFFFFF"/>
                <w:sz w:val="46"/>
                <w:szCs w:val="46"/>
              </w:rPr>
              <w:t>NYCBenefits</w:t>
            </w:r>
            <w:proofErr w:type="spellEnd"/>
          </w:p>
        </w:tc>
      </w:tr>
      <w:tr w:rsidR="008B6C73" w14:paraId="00CBF456"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4" w:type="dxa"/>
              <w:left w:w="160" w:type="dxa"/>
              <w:bottom w:w="4" w:type="dxa"/>
              <w:right w:w="160" w:type="dxa"/>
            </w:tcMar>
          </w:tcPr>
          <w:p w14:paraId="72A6B71E" w14:textId="77777777" w:rsidR="008B6C73" w:rsidRDefault="00000000">
            <w:r>
              <w:rPr>
                <w:rFonts w:ascii="Calibri" w:eastAsia="Calibri" w:hAnsi="Calibri" w:cs="Calibri"/>
                <w:b/>
                <w:bCs/>
                <w:color w:val="D8F0ED"/>
                <w:sz w:val="16"/>
                <w:szCs w:val="16"/>
              </w:rPr>
              <w:t>NYC Human Resources Administration (</w:t>
            </w:r>
            <w:proofErr w:type="gramStart"/>
            <w:r>
              <w:rPr>
                <w:rFonts w:ascii="Calibri" w:eastAsia="Calibri" w:hAnsi="Calibri" w:cs="Calibri"/>
                <w:b/>
                <w:bCs/>
                <w:color w:val="D8F0ED"/>
                <w:sz w:val="16"/>
                <w:szCs w:val="16"/>
              </w:rPr>
              <w:t>HRA)  ·</w:t>
            </w:r>
            <w:proofErr w:type="gramEnd"/>
            <w:r>
              <w:rPr>
                <w:rFonts w:ascii="Calibri" w:eastAsia="Calibri" w:hAnsi="Calibri" w:cs="Calibri"/>
                <w:b/>
                <w:bCs/>
                <w:color w:val="D8F0ED"/>
                <w:sz w:val="16"/>
                <w:szCs w:val="16"/>
              </w:rPr>
              <w:t xml:space="preserve">  Office of Technology &amp; </w:t>
            </w:r>
            <w:proofErr w:type="gramStart"/>
            <w:r>
              <w:rPr>
                <w:rFonts w:ascii="Calibri" w:eastAsia="Calibri" w:hAnsi="Calibri" w:cs="Calibri"/>
                <w:b/>
                <w:bCs/>
                <w:color w:val="D8F0ED"/>
                <w:sz w:val="16"/>
                <w:szCs w:val="16"/>
              </w:rPr>
              <w:t>Innovation  ·</w:t>
            </w:r>
            <w:proofErr w:type="gramEnd"/>
            <w:r>
              <w:rPr>
                <w:rFonts w:ascii="Calibri" w:eastAsia="Calibri" w:hAnsi="Calibri" w:cs="Calibri"/>
                <w:b/>
                <w:bCs/>
                <w:color w:val="D8F0ED"/>
                <w:sz w:val="16"/>
                <w:szCs w:val="16"/>
              </w:rPr>
              <w:t xml:space="preserve">  New York City, NY</w:t>
            </w:r>
          </w:p>
        </w:tc>
      </w:tr>
      <w:tr w:rsidR="008B6C73" w14:paraId="7DDF0372" w14:textId="77777777">
        <w:tc>
          <w:tcPr>
            <w:tcW w:w="0" w:type="auto"/>
            <w:tcBorders>
              <w:top w:val="none" w:sz="0" w:space="0" w:color="FFFFFF"/>
              <w:left w:val="none" w:sz="0" w:space="0" w:color="FFFFFF"/>
              <w:bottom w:val="none" w:sz="0" w:space="0" w:color="FFFFFF"/>
              <w:right w:val="none" w:sz="0" w:space="0" w:color="FFFFFF"/>
            </w:tcBorders>
            <w:shd w:val="clear" w:color="auto" w:fill="163151"/>
            <w:tcMar>
              <w:top w:w="40" w:type="dxa"/>
              <w:left w:w="160" w:type="dxa"/>
              <w:bottom w:w="40" w:type="dxa"/>
              <w:right w:w="160" w:type="dxa"/>
            </w:tcMar>
          </w:tcPr>
          <w:p w14:paraId="2B69333A" w14:textId="77777777" w:rsidR="008B6C73" w:rsidRDefault="00000000">
            <w:r>
              <w:rPr>
                <w:rFonts w:ascii="Calibri" w:eastAsia="Calibri" w:hAnsi="Calibri" w:cs="Calibri"/>
                <w:b/>
                <w:bCs/>
                <w:color w:val="AACFE8"/>
                <w:sz w:val="15"/>
                <w:szCs w:val="15"/>
              </w:rPr>
              <w:t xml:space="preserve">36 Community Service </w:t>
            </w:r>
            <w:proofErr w:type="gramStart"/>
            <w:r>
              <w:rPr>
                <w:rFonts w:ascii="Calibri" w:eastAsia="Calibri" w:hAnsi="Calibri" w:cs="Calibri"/>
                <w:b/>
                <w:bCs/>
                <w:color w:val="AACFE8"/>
                <w:sz w:val="15"/>
                <w:szCs w:val="15"/>
              </w:rPr>
              <w:t>Providers  ·</w:t>
            </w:r>
            <w:proofErr w:type="gramEnd"/>
            <w:r>
              <w:rPr>
                <w:rFonts w:ascii="Calibri" w:eastAsia="Calibri" w:hAnsi="Calibri" w:cs="Calibri"/>
                <w:b/>
                <w:bCs/>
                <w:color w:val="AACFE8"/>
                <w:sz w:val="15"/>
                <w:szCs w:val="15"/>
              </w:rPr>
              <w:t xml:space="preserve">  SNAP, Medicaid, Cash Assistance &amp; </w:t>
            </w:r>
            <w:proofErr w:type="gramStart"/>
            <w:r>
              <w:rPr>
                <w:rFonts w:ascii="Calibri" w:eastAsia="Calibri" w:hAnsi="Calibri" w:cs="Calibri"/>
                <w:b/>
                <w:bCs/>
                <w:color w:val="AACFE8"/>
                <w:sz w:val="15"/>
                <w:szCs w:val="15"/>
              </w:rPr>
              <w:t>More  ·</w:t>
            </w:r>
            <w:proofErr w:type="gramEnd"/>
            <w:r>
              <w:rPr>
                <w:rFonts w:ascii="Calibri" w:eastAsia="Calibri" w:hAnsi="Calibri" w:cs="Calibri"/>
                <w:b/>
                <w:bCs/>
                <w:color w:val="AACFE8"/>
                <w:sz w:val="15"/>
                <w:szCs w:val="15"/>
              </w:rPr>
              <w:t xml:space="preserve">  Benefits Screening </w:t>
            </w:r>
            <w:proofErr w:type="gramStart"/>
            <w:r>
              <w:rPr>
                <w:rFonts w:ascii="Calibri" w:eastAsia="Calibri" w:hAnsi="Calibri" w:cs="Calibri"/>
                <w:b/>
                <w:bCs/>
                <w:color w:val="AACFE8"/>
                <w:sz w:val="15"/>
                <w:szCs w:val="15"/>
              </w:rPr>
              <w:t>API  ·</w:t>
            </w:r>
            <w:proofErr w:type="gramEnd"/>
            <w:r>
              <w:rPr>
                <w:rFonts w:ascii="Calibri" w:eastAsia="Calibri" w:hAnsi="Calibri" w:cs="Calibri"/>
                <w:b/>
                <w:bCs/>
                <w:color w:val="AACFE8"/>
                <w:sz w:val="15"/>
                <w:szCs w:val="15"/>
              </w:rPr>
              <w:t xml:space="preserve">  11 </w:t>
            </w:r>
            <w:proofErr w:type="gramStart"/>
            <w:r>
              <w:rPr>
                <w:rFonts w:ascii="Calibri" w:eastAsia="Calibri" w:hAnsi="Calibri" w:cs="Calibri"/>
                <w:b/>
                <w:bCs/>
                <w:color w:val="AACFE8"/>
                <w:sz w:val="15"/>
                <w:szCs w:val="15"/>
              </w:rPr>
              <w:t>Languages  ·</w:t>
            </w:r>
            <w:proofErr w:type="gramEnd"/>
            <w:r>
              <w:rPr>
                <w:rFonts w:ascii="Calibri" w:eastAsia="Calibri" w:hAnsi="Calibri" w:cs="Calibri"/>
                <w:b/>
                <w:bCs/>
                <w:color w:val="AACFE8"/>
                <w:sz w:val="15"/>
                <w:szCs w:val="15"/>
              </w:rPr>
              <w:t xml:space="preserve">  No State Legislation Required</w:t>
            </w:r>
          </w:p>
        </w:tc>
      </w:tr>
    </w:tbl>
    <w:p w14:paraId="6345F41D"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B1FEB95"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0DB2E48A"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2F63A1B" w14:textId="77777777" w:rsidR="008B6C73" w:rsidRDefault="00000000">
            <w:r>
              <w:rPr>
                <w:rFonts w:ascii="Calibri" w:eastAsia="Calibri" w:hAnsi="Calibri" w:cs="Calibri"/>
                <w:b/>
                <w:bCs/>
                <w:color w:val="2C5F8A"/>
                <w:sz w:val="16"/>
                <w:szCs w:val="16"/>
              </w:rPr>
              <w:t>WHAT IS IT?</w:t>
            </w:r>
          </w:p>
        </w:tc>
      </w:tr>
    </w:tbl>
    <w:p w14:paraId="729DA1CC" w14:textId="77777777" w:rsidR="008B6C73" w:rsidRDefault="008B6C73">
      <w:pPr>
        <w:spacing w:after="25"/>
      </w:pPr>
    </w:p>
    <w:p w14:paraId="2454F3D1" w14:textId="77777777" w:rsidR="008B6C73" w:rsidRDefault="00000000">
      <w:proofErr w:type="spellStart"/>
      <w:r>
        <w:rPr>
          <w:rFonts w:ascii="Calibri" w:eastAsia="Calibri" w:hAnsi="Calibri" w:cs="Calibri"/>
          <w:color w:val="1A1A1A"/>
          <w:sz w:val="16"/>
          <w:szCs w:val="16"/>
        </w:rPr>
        <w:t>NYCBenefits</w:t>
      </w:r>
      <w:proofErr w:type="spellEnd"/>
      <w:r>
        <w:rPr>
          <w:rFonts w:ascii="Calibri" w:eastAsia="Calibri" w:hAnsi="Calibri" w:cs="Calibri"/>
          <w:color w:val="1A1A1A"/>
          <w:sz w:val="16"/>
          <w:szCs w:val="16"/>
        </w:rPr>
        <w:t xml:space="preserve"> is a city-funded benefits access initiative housed within the NYC Human Resources Administration (HRA) that contracts with 36 community service providers across New York City to help residents enroll in public benefit programs including SNAP, Cash Assistance, Medicaid, Medicare, housing assistance, Fair Fares, and childcare benefits. Navigators meet residents where they are — in community centers, libraries, and faith institutions — and help them navigate the complexity of multiple benefit programs, making the model especially powerful for households facing language barriers, limited digital access, or distrust of government institutions. HRA partnered with the Office of Technology &amp; Innovation to develop two tools: a Benefits Screening API that allows providers to assess a resident's eligibility across programs, and a Benefits &amp; Programs Content Dataset available in 11 languages. The program is funded through city budget appropriations, with approximately $250,000 per year for the initiative and $200,000–$350,000 per year for Technical Assistance and Backbone Provider support. No state legislation was required.</w:t>
      </w:r>
    </w:p>
    <w:p w14:paraId="6A1A5132"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45A3E98"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0EA9D4D1"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4560DC0" w14:textId="77777777" w:rsidR="008B6C73" w:rsidRDefault="00000000">
            <w:r>
              <w:rPr>
                <w:rFonts w:ascii="Calibri" w:eastAsia="Calibri" w:hAnsi="Calibri" w:cs="Calibri"/>
                <w:b/>
                <w:bCs/>
                <w:color w:val="2C5F8A"/>
                <w:sz w:val="16"/>
                <w:szCs w:val="16"/>
              </w:rPr>
              <w:t>EVIDENCE HIGHLIGHTS</w:t>
            </w:r>
          </w:p>
        </w:tc>
      </w:tr>
    </w:tbl>
    <w:p w14:paraId="651FF767" w14:textId="77777777" w:rsidR="008B6C73" w:rsidRDefault="008B6C73">
      <w:pPr>
        <w:spacing w:after="28"/>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8585"/>
      </w:tblGrid>
      <w:tr w:rsidR="008B6C73" w14:paraId="221775F0"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16630E60" w14:textId="77777777" w:rsidR="008B6C73" w:rsidRDefault="00000000">
            <w:r>
              <w:rPr>
                <w:rFonts w:ascii="Calibri" w:eastAsia="Calibri" w:hAnsi="Calibri" w:cs="Calibri"/>
                <w:b/>
                <w:bCs/>
                <w:color w:val="1B3A5C"/>
                <w:sz w:val="16"/>
                <w:szCs w:val="16"/>
              </w:rPr>
              <w:t>Provider Network</w:t>
            </w:r>
          </w:p>
        </w:tc>
        <w:tc>
          <w:tcPr>
            <w:tcW w:w="858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712B3830" w14:textId="77777777" w:rsidR="008B6C73" w:rsidRDefault="00000000">
            <w:r>
              <w:rPr>
                <w:rFonts w:ascii="Calibri" w:eastAsia="Calibri" w:hAnsi="Calibri" w:cs="Calibri"/>
                <w:color w:val="1A1A1A"/>
                <w:sz w:val="16"/>
                <w:szCs w:val="16"/>
              </w:rPr>
              <w:t>36 community service providers contracted across New York City to deliver in-person enrollment assistance</w:t>
            </w:r>
          </w:p>
        </w:tc>
      </w:tr>
      <w:tr w:rsidR="008B6C73" w14:paraId="22F0A6A1"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79142C42" w14:textId="77777777" w:rsidR="008B6C73" w:rsidRDefault="00000000">
            <w:r>
              <w:rPr>
                <w:rFonts w:ascii="Calibri" w:eastAsia="Calibri" w:hAnsi="Calibri" w:cs="Calibri"/>
                <w:b/>
                <w:bCs/>
                <w:color w:val="1B3A5C"/>
                <w:sz w:val="16"/>
                <w:szCs w:val="16"/>
              </w:rPr>
              <w:t>Programs Covered</w:t>
            </w:r>
          </w:p>
        </w:tc>
        <w:tc>
          <w:tcPr>
            <w:tcW w:w="858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15F2E966" w14:textId="77777777" w:rsidR="008B6C73" w:rsidRDefault="00000000">
            <w:r>
              <w:rPr>
                <w:rFonts w:ascii="Calibri" w:eastAsia="Calibri" w:hAnsi="Calibri" w:cs="Calibri"/>
                <w:color w:val="1A1A1A"/>
                <w:sz w:val="16"/>
                <w:szCs w:val="16"/>
              </w:rPr>
              <w:t>SNAP, Cash Assistance, Medicaid, Medicare, housing assistance, Fair Fares, childcare benefits, and more</w:t>
            </w:r>
          </w:p>
        </w:tc>
      </w:tr>
      <w:tr w:rsidR="008B6C73" w14:paraId="666FF10B"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0535274A" w14:textId="77777777" w:rsidR="008B6C73" w:rsidRDefault="00000000">
            <w:r>
              <w:rPr>
                <w:rFonts w:ascii="Calibri" w:eastAsia="Calibri" w:hAnsi="Calibri" w:cs="Calibri"/>
                <w:b/>
                <w:bCs/>
                <w:color w:val="1B3A5C"/>
                <w:sz w:val="16"/>
                <w:szCs w:val="16"/>
              </w:rPr>
              <w:t>Benefits Screening API</w:t>
            </w:r>
          </w:p>
        </w:tc>
        <w:tc>
          <w:tcPr>
            <w:tcW w:w="858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6330E938" w14:textId="77777777" w:rsidR="008B6C73" w:rsidRDefault="00000000">
            <w:r>
              <w:rPr>
                <w:rFonts w:ascii="Calibri" w:eastAsia="Calibri" w:hAnsi="Calibri" w:cs="Calibri"/>
                <w:color w:val="1A1A1A"/>
                <w:sz w:val="16"/>
                <w:szCs w:val="16"/>
              </w:rPr>
              <w:t>HRA-built tool allowing community providers to assess resident eligibility across multiple programs in a single session</w:t>
            </w:r>
          </w:p>
        </w:tc>
      </w:tr>
      <w:tr w:rsidR="008B6C73" w14:paraId="15BC592F"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6F7F1BD1" w14:textId="77777777" w:rsidR="008B6C73" w:rsidRDefault="00000000">
            <w:r>
              <w:rPr>
                <w:rFonts w:ascii="Calibri" w:eastAsia="Calibri" w:hAnsi="Calibri" w:cs="Calibri"/>
                <w:b/>
                <w:bCs/>
                <w:color w:val="1B3A5C"/>
                <w:sz w:val="16"/>
                <w:szCs w:val="16"/>
              </w:rPr>
              <w:t>Language Access</w:t>
            </w:r>
          </w:p>
        </w:tc>
        <w:tc>
          <w:tcPr>
            <w:tcW w:w="858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7A5B258C" w14:textId="77777777" w:rsidR="008B6C73" w:rsidRDefault="00000000">
            <w:r>
              <w:rPr>
                <w:rFonts w:ascii="Calibri" w:eastAsia="Calibri" w:hAnsi="Calibri" w:cs="Calibri"/>
                <w:color w:val="1A1A1A"/>
                <w:sz w:val="16"/>
                <w:szCs w:val="16"/>
              </w:rPr>
              <w:t>Benefits &amp; Programs Content Dataset available in 11 languages</w:t>
            </w:r>
          </w:p>
        </w:tc>
      </w:tr>
      <w:tr w:rsidR="008B6C73" w14:paraId="779F4EDA"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75B61425" w14:textId="77777777" w:rsidR="008B6C73" w:rsidRDefault="00000000">
            <w:r>
              <w:rPr>
                <w:rFonts w:ascii="Calibri" w:eastAsia="Calibri" w:hAnsi="Calibri" w:cs="Calibri"/>
                <w:b/>
                <w:bCs/>
                <w:color w:val="1B3A5C"/>
                <w:sz w:val="16"/>
                <w:szCs w:val="16"/>
              </w:rPr>
              <w:t>Funding</w:t>
            </w:r>
          </w:p>
        </w:tc>
        <w:tc>
          <w:tcPr>
            <w:tcW w:w="858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652FD8DC" w14:textId="77777777" w:rsidR="008B6C73" w:rsidRDefault="00000000">
            <w:r>
              <w:rPr>
                <w:rFonts w:ascii="Calibri" w:eastAsia="Calibri" w:hAnsi="Calibri" w:cs="Calibri"/>
                <w:color w:val="1A1A1A"/>
                <w:sz w:val="16"/>
                <w:szCs w:val="16"/>
              </w:rPr>
              <w:t>~$250,000/year for the initiative; $200,000–$350,000/year for Technical Assistance and Backbone Provider support</w:t>
            </w:r>
          </w:p>
        </w:tc>
      </w:tr>
      <w:tr w:rsidR="008B6C73" w14:paraId="6DEE11F0"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35A106B8" w14:textId="77777777" w:rsidR="008B6C73" w:rsidRDefault="00000000">
            <w:r>
              <w:rPr>
                <w:rFonts w:ascii="Calibri" w:eastAsia="Calibri" w:hAnsi="Calibri" w:cs="Calibri"/>
                <w:b/>
                <w:bCs/>
                <w:color w:val="1B3A5C"/>
                <w:sz w:val="16"/>
                <w:szCs w:val="16"/>
              </w:rPr>
              <w:t>Comparable Evidence</w:t>
            </w:r>
          </w:p>
        </w:tc>
        <w:tc>
          <w:tcPr>
            <w:tcW w:w="858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7D8B8EB1" w14:textId="77777777" w:rsidR="008B6C73" w:rsidRDefault="00000000">
            <w:r>
              <w:rPr>
                <w:rFonts w:ascii="Calibri" w:eastAsia="Calibri" w:hAnsi="Calibri" w:cs="Calibri"/>
                <w:color w:val="1A1A1A"/>
                <w:sz w:val="16"/>
                <w:szCs w:val="16"/>
              </w:rPr>
              <w:t>2024 GSA evaluation: Kentucky increased rental assistance approvals by 7–13 percentage points (~9,500 additional households) by simplifying income verification</w:t>
            </w:r>
          </w:p>
        </w:tc>
      </w:tr>
      <w:tr w:rsidR="008B6C73" w14:paraId="17F3192F"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613304EB" w14:textId="77777777" w:rsidR="008B6C73" w:rsidRDefault="00000000">
            <w:r>
              <w:rPr>
                <w:rFonts w:ascii="Calibri" w:eastAsia="Calibri" w:hAnsi="Calibri" w:cs="Calibri"/>
                <w:b/>
                <w:bCs/>
                <w:color w:val="1B3A5C"/>
                <w:sz w:val="16"/>
                <w:szCs w:val="16"/>
              </w:rPr>
              <w:t>Enabling Structure</w:t>
            </w:r>
          </w:p>
        </w:tc>
        <w:tc>
          <w:tcPr>
            <w:tcW w:w="858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7D509863" w14:textId="77777777" w:rsidR="008B6C73" w:rsidRDefault="00000000">
            <w:r>
              <w:rPr>
                <w:rFonts w:ascii="Calibri" w:eastAsia="Calibri" w:hAnsi="Calibri" w:cs="Calibri"/>
                <w:color w:val="1A1A1A"/>
                <w:sz w:val="16"/>
                <w:szCs w:val="16"/>
              </w:rPr>
              <w:t>City budget authority, existing network of community organizations, and HRA/OTI-built screening tools — no state legislation required</w:t>
            </w:r>
          </w:p>
        </w:tc>
      </w:tr>
    </w:tbl>
    <w:p w14:paraId="6419E66E"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04A7874"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50A9F94E"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3CDFC08" w14:textId="77777777" w:rsidR="008B6C73" w:rsidRDefault="00000000">
            <w:r>
              <w:rPr>
                <w:rFonts w:ascii="Calibri" w:eastAsia="Calibri" w:hAnsi="Calibri" w:cs="Calibri"/>
                <w:b/>
                <w:bCs/>
                <w:color w:val="2C5F8A"/>
                <w:sz w:val="16"/>
                <w:szCs w:val="16"/>
              </w:rPr>
              <w:t>HOW IT WORKS</w:t>
            </w:r>
          </w:p>
        </w:tc>
      </w:tr>
    </w:tbl>
    <w:p w14:paraId="33FBC0CD" w14:textId="77777777" w:rsidR="008B6C73" w:rsidRDefault="008B6C73">
      <w:pPr>
        <w:spacing w:after="28"/>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35"/>
        <w:gridCol w:w="5760"/>
      </w:tblGrid>
      <w:tr w:rsidR="008B6C73" w14:paraId="5682A053" w14:textId="77777777" w:rsidTr="003B232E">
        <w:tc>
          <w:tcPr>
            <w:tcW w:w="5035"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5C2036F6" w14:textId="77777777" w:rsidR="008B6C73" w:rsidRDefault="00000000">
            <w:pPr>
              <w:spacing w:after="30"/>
            </w:pPr>
            <w:r>
              <w:rPr>
                <w:rFonts w:ascii="Calibri" w:eastAsia="Calibri" w:hAnsi="Calibri" w:cs="Calibri"/>
                <w:b/>
                <w:bCs/>
                <w:color w:val="2C5F8A"/>
                <w:sz w:val="16"/>
                <w:szCs w:val="16"/>
              </w:rPr>
              <w:t>① Community-Based Navigation</w:t>
            </w:r>
          </w:p>
          <w:p w14:paraId="5AE967F0" w14:textId="77777777" w:rsidR="008B6C73" w:rsidRDefault="00000000">
            <w:r>
              <w:rPr>
                <w:rFonts w:ascii="Calibri" w:eastAsia="Calibri" w:hAnsi="Calibri" w:cs="Calibri"/>
                <w:color w:val="1A1A1A"/>
                <w:sz w:val="16"/>
                <w:szCs w:val="16"/>
              </w:rPr>
              <w:t>HRA contracts with 36 community service providers to deliver in-person enrollment assistance. Navigators meet residents where they are, reducing the barriers that prevent eligible households from enrolling.</w:t>
            </w:r>
          </w:p>
        </w:tc>
        <w:tc>
          <w:tcPr>
            <w:tcW w:w="5760"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47454398" w14:textId="77777777" w:rsidR="008B6C73" w:rsidRDefault="00000000">
            <w:pPr>
              <w:spacing w:after="30"/>
            </w:pPr>
            <w:r>
              <w:rPr>
                <w:rFonts w:ascii="Calibri" w:eastAsia="Calibri" w:hAnsi="Calibri" w:cs="Calibri"/>
                <w:b/>
                <w:bCs/>
                <w:color w:val="2C5F8A"/>
                <w:sz w:val="16"/>
                <w:szCs w:val="16"/>
              </w:rPr>
              <w:t>② Benefits Screening API</w:t>
            </w:r>
          </w:p>
          <w:p w14:paraId="473EFD27" w14:textId="77777777" w:rsidR="008B6C73" w:rsidRDefault="00000000">
            <w:r>
              <w:rPr>
                <w:rFonts w:ascii="Calibri" w:eastAsia="Calibri" w:hAnsi="Calibri" w:cs="Calibri"/>
                <w:color w:val="1A1A1A"/>
                <w:sz w:val="16"/>
                <w:szCs w:val="16"/>
              </w:rPr>
              <w:t>HRA and OTI developed a Benefits Screening API that allows navigator organizations to assess a resident's eligibility across multiple programs in a single session — replacing fragmented screening.</w:t>
            </w:r>
          </w:p>
        </w:tc>
      </w:tr>
      <w:tr w:rsidR="008B6C73" w14:paraId="4FD65C15" w14:textId="77777777" w:rsidTr="003B232E">
        <w:tc>
          <w:tcPr>
            <w:tcW w:w="5035"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6C4D8437" w14:textId="77777777" w:rsidR="008B6C73" w:rsidRDefault="00000000">
            <w:pPr>
              <w:spacing w:after="30"/>
            </w:pPr>
            <w:r>
              <w:rPr>
                <w:rFonts w:ascii="Calibri" w:eastAsia="Calibri" w:hAnsi="Calibri" w:cs="Calibri"/>
                <w:b/>
                <w:bCs/>
                <w:color w:val="2C5F8A"/>
                <w:sz w:val="16"/>
                <w:szCs w:val="16"/>
              </w:rPr>
              <w:t>③ Multilingual Content &amp; Program Information</w:t>
            </w:r>
          </w:p>
          <w:p w14:paraId="74D619AE" w14:textId="77777777" w:rsidR="008B6C73" w:rsidRDefault="00000000">
            <w:r>
              <w:rPr>
                <w:rFonts w:ascii="Calibri" w:eastAsia="Calibri" w:hAnsi="Calibri" w:cs="Calibri"/>
                <w:color w:val="1A1A1A"/>
                <w:sz w:val="16"/>
                <w:szCs w:val="16"/>
              </w:rPr>
              <w:t>The Benefits &amp; Programs Content Dataset, available in 11 languages, provides navigators and residents with accurate, accessible program descriptions across the full range of city and federal benefits.</w:t>
            </w:r>
          </w:p>
        </w:tc>
        <w:tc>
          <w:tcPr>
            <w:tcW w:w="5760"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54A41109" w14:textId="77777777" w:rsidR="008B6C73" w:rsidRDefault="00000000">
            <w:pPr>
              <w:spacing w:after="30"/>
            </w:pPr>
            <w:r>
              <w:rPr>
                <w:rFonts w:ascii="Calibri" w:eastAsia="Calibri" w:hAnsi="Calibri" w:cs="Calibri"/>
                <w:b/>
                <w:bCs/>
                <w:color w:val="2C5F8A"/>
                <w:sz w:val="16"/>
                <w:szCs w:val="16"/>
              </w:rPr>
              <w:t>④ Backbone Provider &amp; Technical Assistance</w:t>
            </w:r>
          </w:p>
          <w:p w14:paraId="352E649B" w14:textId="77777777" w:rsidR="008B6C73" w:rsidRDefault="00000000">
            <w:r>
              <w:rPr>
                <w:rFonts w:ascii="Calibri" w:eastAsia="Calibri" w:hAnsi="Calibri" w:cs="Calibri"/>
                <w:color w:val="1A1A1A"/>
                <w:sz w:val="16"/>
                <w:szCs w:val="16"/>
              </w:rPr>
              <w:t>A dedicated Backbone Provider coordinates the navigator network and provides technical assistance, ensuring that smaller community organizations can participate effectively.</w:t>
            </w:r>
          </w:p>
        </w:tc>
      </w:tr>
    </w:tbl>
    <w:p w14:paraId="6D97804C"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0EDF2D51"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6821C850"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730E83B2" w14:textId="77777777" w:rsidR="008B6C73" w:rsidRDefault="00000000">
            <w:r>
              <w:rPr>
                <w:rFonts w:ascii="Calibri" w:eastAsia="Calibri" w:hAnsi="Calibri" w:cs="Calibri"/>
                <w:b/>
                <w:bCs/>
                <w:color w:val="2C5F8A"/>
                <w:sz w:val="16"/>
                <w:szCs w:val="16"/>
              </w:rPr>
              <w:t>ENABLING CONDITIONS &amp; REPLICATION</w:t>
            </w:r>
          </w:p>
        </w:tc>
      </w:tr>
    </w:tbl>
    <w:p w14:paraId="22DA3466" w14:textId="77777777" w:rsidR="008B6C73" w:rsidRDefault="008B6C73">
      <w:pPr>
        <w:spacing w:after="28"/>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5305"/>
      </w:tblGrid>
      <w:tr w:rsidR="008B6C73" w14:paraId="0F246F48" w14:textId="77777777" w:rsidTr="003B232E">
        <w:tc>
          <w:tcPr>
            <w:tcW w:w="4680"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2818FAD5" w14:textId="77777777" w:rsidR="008B6C73" w:rsidRDefault="00000000">
            <w:r>
              <w:rPr>
                <w:rFonts w:ascii="Calibri" w:eastAsia="Calibri" w:hAnsi="Calibri" w:cs="Calibri"/>
                <w:b/>
                <w:bCs/>
                <w:color w:val="FFFFFF"/>
                <w:sz w:val="16"/>
                <w:szCs w:val="16"/>
              </w:rPr>
              <w:t>What Made It Possible</w:t>
            </w:r>
          </w:p>
        </w:tc>
        <w:tc>
          <w:tcPr>
            <w:tcW w:w="5305"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615B85AF" w14:textId="77777777" w:rsidR="008B6C73" w:rsidRDefault="00000000">
            <w:r>
              <w:rPr>
                <w:rFonts w:ascii="Calibri" w:eastAsia="Calibri" w:hAnsi="Calibri" w:cs="Calibri"/>
                <w:b/>
                <w:bCs/>
                <w:color w:val="FFFFFF"/>
                <w:sz w:val="16"/>
                <w:szCs w:val="16"/>
              </w:rPr>
              <w:t>Who Can Replicate This</w:t>
            </w:r>
          </w:p>
        </w:tc>
      </w:tr>
      <w:tr w:rsidR="008B6C73" w14:paraId="29ED6F13" w14:textId="77777777" w:rsidTr="003B232E">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03CDD56E" w14:textId="77777777" w:rsidR="008B6C73" w:rsidRDefault="00000000">
            <w:r>
              <w:rPr>
                <w:rFonts w:ascii="Calibri" w:eastAsia="Calibri" w:hAnsi="Calibri" w:cs="Calibri"/>
                <w:color w:val="1A1A1A"/>
                <w:sz w:val="16"/>
                <w:szCs w:val="16"/>
              </w:rPr>
              <w:t>City budget authority allowed HRA to contract directly with community organizations — no state legislation required</w:t>
            </w:r>
          </w:p>
        </w:tc>
        <w:tc>
          <w:tcPr>
            <w:tcW w:w="530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0A81A040" w14:textId="77777777" w:rsidR="008B6C73" w:rsidRDefault="00000000">
            <w:r>
              <w:rPr>
                <w:rFonts w:ascii="Calibri" w:eastAsia="Calibri" w:hAnsi="Calibri" w:cs="Calibri"/>
                <w:color w:val="1A1A1A"/>
                <w:sz w:val="16"/>
                <w:szCs w:val="16"/>
              </w:rPr>
              <w:t>Cities with municipal budget authority can fund community navigator networks through direct contracts with CBOs</w:t>
            </w:r>
          </w:p>
        </w:tc>
      </w:tr>
      <w:tr w:rsidR="008B6C73" w14:paraId="11C9CCFF" w14:textId="77777777" w:rsidTr="003B232E">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14CAEBBF" w14:textId="77777777" w:rsidR="008B6C73" w:rsidRDefault="00000000">
            <w:r>
              <w:rPr>
                <w:rFonts w:ascii="Calibri" w:eastAsia="Calibri" w:hAnsi="Calibri" w:cs="Calibri"/>
                <w:color w:val="1A1A1A"/>
                <w:sz w:val="16"/>
                <w:szCs w:val="16"/>
              </w:rPr>
              <w:t>HRA's existing relationships with community service providers created a ready network of trusted organizations</w:t>
            </w:r>
          </w:p>
        </w:tc>
        <w:tc>
          <w:tcPr>
            <w:tcW w:w="530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47C2A892" w14:textId="77777777" w:rsidR="008B6C73" w:rsidRDefault="00000000">
            <w:r>
              <w:rPr>
                <w:rFonts w:ascii="Calibri" w:eastAsia="Calibri" w:hAnsi="Calibri" w:cs="Calibri"/>
                <w:color w:val="1A1A1A"/>
                <w:sz w:val="16"/>
                <w:szCs w:val="16"/>
              </w:rPr>
              <w:t>Cities should map their existing community organization ecosystems before building new infrastructure</w:t>
            </w:r>
          </w:p>
        </w:tc>
      </w:tr>
      <w:tr w:rsidR="008B6C73" w14:paraId="380F1D5E" w14:textId="77777777" w:rsidTr="003B232E">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05CA11F4" w14:textId="77777777" w:rsidR="008B6C73" w:rsidRDefault="00000000">
            <w:r>
              <w:rPr>
                <w:rFonts w:ascii="Calibri" w:eastAsia="Calibri" w:hAnsi="Calibri" w:cs="Calibri"/>
                <w:color w:val="1A1A1A"/>
                <w:sz w:val="16"/>
                <w:szCs w:val="16"/>
              </w:rPr>
              <w:t>OTI's in-house engineering capacity enabled HRA to build a Benefits Screening API tailored to NYC's program portfolio</w:t>
            </w:r>
          </w:p>
        </w:tc>
        <w:tc>
          <w:tcPr>
            <w:tcW w:w="530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341F83C6" w14:textId="77777777" w:rsidR="008B6C73" w:rsidRDefault="00000000">
            <w:r>
              <w:rPr>
                <w:rFonts w:ascii="Calibri" w:eastAsia="Calibri" w:hAnsi="Calibri" w:cs="Calibri"/>
                <w:color w:val="1A1A1A"/>
                <w:sz w:val="16"/>
                <w:szCs w:val="16"/>
              </w:rPr>
              <w:t>Cities with municipal tech capacity should invest in navigator-facing screening tools; others can adapt open-source tools</w:t>
            </w:r>
          </w:p>
        </w:tc>
      </w:tr>
      <w:tr w:rsidR="008B6C73" w14:paraId="49B43512" w14:textId="77777777" w:rsidTr="003B232E">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36E68234" w14:textId="77777777" w:rsidR="008B6C73" w:rsidRDefault="00000000">
            <w:r>
              <w:rPr>
                <w:rFonts w:ascii="Calibri" w:eastAsia="Calibri" w:hAnsi="Calibri" w:cs="Calibri"/>
                <w:color w:val="1A1A1A"/>
                <w:sz w:val="16"/>
                <w:szCs w:val="16"/>
              </w:rPr>
              <w:t>The Benefits &amp; Programs Content Dataset in 11 languages ensures navigator support is accessible at scale</w:t>
            </w:r>
          </w:p>
        </w:tc>
        <w:tc>
          <w:tcPr>
            <w:tcW w:w="530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441DE3AD" w14:textId="77777777" w:rsidR="008B6C73" w:rsidRDefault="00000000">
            <w:r>
              <w:rPr>
                <w:rFonts w:ascii="Calibri" w:eastAsia="Calibri" w:hAnsi="Calibri" w:cs="Calibri"/>
                <w:color w:val="1A1A1A"/>
                <w:sz w:val="16"/>
                <w:szCs w:val="16"/>
              </w:rPr>
              <w:t>Cities should invest in multilingual program content as baseline infrastructure for navigator networks</w:t>
            </w:r>
          </w:p>
        </w:tc>
      </w:tr>
      <w:tr w:rsidR="008B6C73" w14:paraId="33ABE8B8" w14:textId="77777777" w:rsidTr="003B232E">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2164C97C" w14:textId="77777777" w:rsidR="008B6C73" w:rsidRDefault="00000000">
            <w:r>
              <w:rPr>
                <w:rFonts w:ascii="Calibri" w:eastAsia="Calibri" w:hAnsi="Calibri" w:cs="Calibri"/>
                <w:color w:val="1A1A1A"/>
                <w:sz w:val="16"/>
                <w:szCs w:val="16"/>
              </w:rPr>
              <w:t>The Backbone Provider model coordinates the network and provides technical assistance for smaller organizations</w:t>
            </w:r>
          </w:p>
        </w:tc>
        <w:tc>
          <w:tcPr>
            <w:tcW w:w="530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32925AA3" w14:textId="77777777" w:rsidR="008B6C73" w:rsidRDefault="00000000">
            <w:r>
              <w:rPr>
                <w:rFonts w:ascii="Calibri" w:eastAsia="Calibri" w:hAnsi="Calibri" w:cs="Calibri"/>
                <w:color w:val="1A1A1A"/>
                <w:sz w:val="16"/>
                <w:szCs w:val="16"/>
              </w:rPr>
              <w:t>Cities should fund a backbone or coordinating entity alongside individual navigator contracts</w:t>
            </w:r>
          </w:p>
        </w:tc>
      </w:tr>
      <w:tr w:rsidR="008B6C73" w14:paraId="52A9BCAB" w14:textId="77777777" w:rsidTr="003B232E">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650BBBF3" w14:textId="77777777" w:rsidR="008B6C73" w:rsidRDefault="00000000">
            <w:r>
              <w:rPr>
                <w:rFonts w:ascii="Calibri" w:eastAsia="Calibri" w:hAnsi="Calibri" w:cs="Calibri"/>
                <w:color w:val="1A1A1A"/>
                <w:sz w:val="16"/>
                <w:szCs w:val="16"/>
              </w:rPr>
              <w:t>Comparable evidence (GSA 2024) demonstrates streamlined enrollment processes expand access by 7–13 percentage points</w:t>
            </w:r>
          </w:p>
        </w:tc>
        <w:tc>
          <w:tcPr>
            <w:tcW w:w="530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0E3642B4" w14:textId="77777777" w:rsidR="008B6C73" w:rsidRDefault="00000000">
            <w:r>
              <w:rPr>
                <w:rFonts w:ascii="Calibri" w:eastAsia="Calibri" w:hAnsi="Calibri" w:cs="Calibri"/>
                <w:color w:val="1A1A1A"/>
                <w:sz w:val="16"/>
                <w:szCs w:val="16"/>
              </w:rPr>
              <w:t>Cities can use national evidence to justify navigator network investment while building local outcome tracking</w:t>
            </w:r>
          </w:p>
        </w:tc>
      </w:tr>
    </w:tbl>
    <w:p w14:paraId="54B7DEAF" w14:textId="77777777" w:rsidR="008B6C73" w:rsidRDefault="008B6C73">
      <w:pPr>
        <w:spacing w:after="30"/>
      </w:pP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7859DA"/>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2026-07-11T00:59:00Z</dcterms:created>
  <dcterms:modified xsi:type="dcterms:W3CDTF">2026-07-11T00:59:00Z</dcterms:modified>
</cp:coreProperties>
</file>