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1C02FEEC"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20" w:type="dxa"/>
              <w:left w:w="160" w:type="dxa"/>
              <w:bottom w:w="10" w:type="dxa"/>
              <w:right w:w="160" w:type="dxa"/>
            </w:tcMar>
          </w:tcPr>
          <w:p w14:paraId="7EC6644E" w14:textId="77777777" w:rsidR="008B6C73" w:rsidRDefault="00000000">
            <w:r>
              <w:rPr>
                <w:rFonts w:ascii="Calibri" w:eastAsia="Calibri" w:hAnsi="Calibri" w:cs="Calibri"/>
                <w:b/>
                <w:bCs/>
                <w:color w:val="FFFFFF"/>
                <w:sz w:val="46"/>
                <w:szCs w:val="46"/>
              </w:rPr>
              <w:t>New York Cap-and-Invest Program</w:t>
            </w:r>
          </w:p>
        </w:tc>
      </w:tr>
      <w:tr w:rsidR="008B6C73" w14:paraId="54E1F96D"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4" w:type="dxa"/>
              <w:left w:w="160" w:type="dxa"/>
              <w:bottom w:w="4" w:type="dxa"/>
              <w:right w:w="160" w:type="dxa"/>
            </w:tcMar>
          </w:tcPr>
          <w:p w14:paraId="39FA5D81" w14:textId="77777777" w:rsidR="008B6C73" w:rsidRDefault="00000000">
            <w:r>
              <w:rPr>
                <w:rFonts w:ascii="Calibri" w:eastAsia="Calibri" w:hAnsi="Calibri" w:cs="Calibri"/>
                <w:b/>
                <w:bCs/>
                <w:color w:val="D8F0ED"/>
                <w:sz w:val="16"/>
                <w:szCs w:val="16"/>
              </w:rPr>
              <w:t xml:space="preserve">Proposed / In </w:t>
            </w:r>
            <w:proofErr w:type="gramStart"/>
            <w:r>
              <w:rPr>
                <w:rFonts w:ascii="Calibri" w:eastAsia="Calibri" w:hAnsi="Calibri" w:cs="Calibri"/>
                <w:b/>
                <w:bCs/>
                <w:color w:val="D8F0ED"/>
                <w:sz w:val="16"/>
                <w:szCs w:val="16"/>
              </w:rPr>
              <w:t>Development  ·</w:t>
            </w:r>
            <w:proofErr w:type="gramEnd"/>
            <w:r>
              <w:rPr>
                <w:rFonts w:ascii="Calibri" w:eastAsia="Calibri" w:hAnsi="Calibri" w:cs="Calibri"/>
                <w:b/>
                <w:bCs/>
                <w:color w:val="D8F0ED"/>
                <w:sz w:val="16"/>
                <w:szCs w:val="16"/>
              </w:rPr>
              <w:t xml:space="preserve">  CLCPA-Mandated</w:t>
            </w:r>
          </w:p>
        </w:tc>
      </w:tr>
      <w:tr w:rsidR="008B6C73" w14:paraId="0ABF70B1" w14:textId="77777777">
        <w:tc>
          <w:tcPr>
            <w:tcW w:w="0" w:type="auto"/>
            <w:tcBorders>
              <w:top w:val="none" w:sz="0" w:space="0" w:color="FFFFFF"/>
              <w:left w:val="none" w:sz="0" w:space="0" w:color="FFFFFF"/>
              <w:bottom w:val="none" w:sz="0" w:space="0" w:color="FFFFFF"/>
              <w:right w:val="none" w:sz="0" w:space="0" w:color="FFFFFF"/>
            </w:tcBorders>
            <w:shd w:val="clear" w:color="auto" w:fill="2A1240"/>
            <w:tcMar>
              <w:top w:w="40" w:type="dxa"/>
              <w:left w:w="160" w:type="dxa"/>
              <w:bottom w:w="40" w:type="dxa"/>
              <w:right w:w="160" w:type="dxa"/>
            </w:tcMar>
          </w:tcPr>
          <w:p w14:paraId="7C2AA316" w14:textId="77777777" w:rsidR="008B6C73" w:rsidRDefault="00000000">
            <w:r>
              <w:rPr>
                <w:rFonts w:ascii="Calibri" w:eastAsia="Calibri" w:hAnsi="Calibri" w:cs="Calibri"/>
                <w:b/>
                <w:bCs/>
                <w:color w:val="C8A8F0"/>
                <w:sz w:val="15"/>
                <w:szCs w:val="15"/>
              </w:rPr>
              <w:t xml:space="preserve">Declining Pollution </w:t>
            </w:r>
            <w:proofErr w:type="gramStart"/>
            <w:r>
              <w:rPr>
                <w:rFonts w:ascii="Calibri" w:eastAsia="Calibri" w:hAnsi="Calibri" w:cs="Calibri"/>
                <w:b/>
                <w:bCs/>
                <w:color w:val="C8A8F0"/>
                <w:sz w:val="15"/>
                <w:szCs w:val="15"/>
              </w:rPr>
              <w:t>Cap  ·</w:t>
            </w:r>
            <w:proofErr w:type="gramEnd"/>
            <w:r>
              <w:rPr>
                <w:rFonts w:ascii="Calibri" w:eastAsia="Calibri" w:hAnsi="Calibri" w:cs="Calibri"/>
                <w:b/>
                <w:bCs/>
                <w:color w:val="C8A8F0"/>
                <w:sz w:val="15"/>
                <w:szCs w:val="15"/>
              </w:rPr>
              <w:t xml:space="preserve">  Quarterly Allowance </w:t>
            </w:r>
            <w:proofErr w:type="gramStart"/>
            <w:r>
              <w:rPr>
                <w:rFonts w:ascii="Calibri" w:eastAsia="Calibri" w:hAnsi="Calibri" w:cs="Calibri"/>
                <w:b/>
                <w:bCs/>
                <w:color w:val="C8A8F0"/>
                <w:sz w:val="15"/>
                <w:szCs w:val="15"/>
              </w:rPr>
              <w:t>Auctions  ·</w:t>
            </w:r>
            <w:proofErr w:type="gramEnd"/>
            <w:r>
              <w:rPr>
                <w:rFonts w:ascii="Calibri" w:eastAsia="Calibri" w:hAnsi="Calibri" w:cs="Calibri"/>
                <w:b/>
                <w:bCs/>
                <w:color w:val="C8A8F0"/>
                <w:sz w:val="15"/>
                <w:szCs w:val="15"/>
              </w:rPr>
              <w:t xml:space="preserve">  Advanced Pathway — Cap-and-Invest &amp; Carbon Revenue Reinvestment</w:t>
            </w:r>
          </w:p>
        </w:tc>
      </w:tr>
    </w:tbl>
    <w:p w14:paraId="6D52E6C7" w14:textId="77777777" w:rsidR="008B6C73" w:rsidRDefault="008B6C73">
      <w:pPr>
        <w:spacing w:after="40"/>
      </w:pPr>
    </w:p>
    <w:p w14:paraId="206C4E24" w14:textId="77777777" w:rsidR="008B6C73" w:rsidRDefault="008B6C73">
      <w:pPr>
        <w:pBdr>
          <w:bottom w:val="single" w:sz="6" w:space="1" w:color="C8B8E8"/>
        </w:pBdr>
      </w:pPr>
    </w:p>
    <w:p w14:paraId="75FE79A4"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9B27221"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3E8D7C1E"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4DF6855" w14:textId="77777777" w:rsidR="008B6C73" w:rsidRDefault="00000000">
            <w:r>
              <w:rPr>
                <w:rFonts w:ascii="Calibri" w:eastAsia="Calibri" w:hAnsi="Calibri" w:cs="Calibri"/>
                <w:b/>
                <w:bCs/>
                <w:color w:val="6B3FA0"/>
                <w:sz w:val="16"/>
                <w:szCs w:val="16"/>
              </w:rPr>
              <w:t>WHAT IS IT?</w:t>
            </w:r>
          </w:p>
        </w:tc>
      </w:tr>
    </w:tbl>
    <w:p w14:paraId="6DD10905" w14:textId="77777777" w:rsidR="008B6C73" w:rsidRDefault="008B6C73">
      <w:pPr>
        <w:spacing w:after="25"/>
      </w:pPr>
    </w:p>
    <w:p w14:paraId="0753E507" w14:textId="77777777" w:rsidR="008B6C73" w:rsidRDefault="00000000">
      <w:r>
        <w:rPr>
          <w:rFonts w:ascii="Calibri" w:eastAsia="Calibri" w:hAnsi="Calibri" w:cs="Calibri"/>
          <w:color w:val="1A1A1A"/>
          <w:sz w:val="16"/>
          <w:szCs w:val="16"/>
        </w:rPr>
        <w:t>New York's proposed Cap-and-Invest program is designed to advance the state's obligations under the Climate Leadership and Community Protection Act (CLCPA). Led by the Department of Environmental Conservation (DEC) and NYSERDA, NYCI would set a declining pollution cap, require covered companies to purchase emissions allowances at quarterly auctions, and channel revenue into a Climate Action Fund. The fund would finance climate programs and consumer affordability measures, with environmental-justice provisions directing a share of proceeds toward disadvantaged communities. As of 2025, NYCI remains in development, with ongoing design work, public engagement, and litigation pressure from environmental and community organizations.</w:t>
      </w:r>
    </w:p>
    <w:p w14:paraId="3885F9B6"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76CA3037"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06C98F7E"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D92761D" w14:textId="77777777" w:rsidR="008B6C73" w:rsidRDefault="00000000">
            <w:r>
              <w:rPr>
                <w:rFonts w:ascii="Calibri" w:eastAsia="Calibri" w:hAnsi="Calibri" w:cs="Calibri"/>
                <w:b/>
                <w:bCs/>
                <w:color w:val="6B3FA0"/>
                <w:sz w:val="16"/>
                <w:szCs w:val="16"/>
              </w:rPr>
              <w:t>EVIDENCE HIGHLIGHTS</w:t>
            </w:r>
          </w:p>
        </w:tc>
      </w:tr>
    </w:tbl>
    <w:p w14:paraId="45A8AD95"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132E42F1"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731813DA" w14:textId="77777777" w:rsidR="008B6C73" w:rsidRDefault="00000000">
            <w:r>
              <w:rPr>
                <w:rFonts w:ascii="Calibri" w:eastAsia="Calibri" w:hAnsi="Calibri" w:cs="Calibri"/>
                <w:b/>
                <w:bCs/>
                <w:color w:val="3D1F5C"/>
                <w:sz w:val="16"/>
                <w:szCs w:val="16"/>
              </w:rPr>
              <w:t>Program Status</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7DBE9385" w14:textId="77777777" w:rsidR="008B6C73" w:rsidRDefault="00000000">
            <w:r>
              <w:rPr>
                <w:rFonts w:ascii="Calibri" w:eastAsia="Calibri" w:hAnsi="Calibri" w:cs="Calibri"/>
                <w:color w:val="1A1A1A"/>
                <w:sz w:val="16"/>
                <w:szCs w:val="16"/>
              </w:rPr>
              <w:t>Proposed and in active development as of 2025 — not yet operational</w:t>
            </w:r>
          </w:p>
        </w:tc>
      </w:tr>
      <w:tr w:rsidR="008B6C73" w14:paraId="5DDC86F3"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70CAC122" w14:textId="77777777" w:rsidR="008B6C73" w:rsidRDefault="00000000">
            <w:r>
              <w:rPr>
                <w:rFonts w:ascii="Calibri" w:eastAsia="Calibri" w:hAnsi="Calibri" w:cs="Calibri"/>
                <w:b/>
                <w:bCs/>
                <w:color w:val="3D1F5C"/>
                <w:sz w:val="16"/>
                <w:szCs w:val="16"/>
              </w:rPr>
              <w:t>Legal Basis</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2D602E4A" w14:textId="77777777" w:rsidR="008B6C73" w:rsidRDefault="00000000">
            <w:r>
              <w:rPr>
                <w:rFonts w:ascii="Calibri" w:eastAsia="Calibri" w:hAnsi="Calibri" w:cs="Calibri"/>
                <w:color w:val="1A1A1A"/>
                <w:sz w:val="16"/>
                <w:szCs w:val="16"/>
              </w:rPr>
              <w:t>Required under the Climate Leadership and Community Protection Act (CLCPA)</w:t>
            </w:r>
          </w:p>
        </w:tc>
      </w:tr>
      <w:tr w:rsidR="008B6C73" w14:paraId="2DD32F51"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70320FB6" w14:textId="77777777" w:rsidR="008B6C73" w:rsidRDefault="00000000">
            <w:r>
              <w:rPr>
                <w:rFonts w:ascii="Calibri" w:eastAsia="Calibri" w:hAnsi="Calibri" w:cs="Calibri"/>
                <w:b/>
                <w:bCs/>
                <w:color w:val="3D1F5C"/>
                <w:sz w:val="16"/>
                <w:szCs w:val="16"/>
              </w:rPr>
              <w:t>Lead Agencies</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4B91A77C" w14:textId="77777777" w:rsidR="008B6C73" w:rsidRDefault="00000000">
            <w:r>
              <w:rPr>
                <w:rFonts w:ascii="Calibri" w:eastAsia="Calibri" w:hAnsi="Calibri" w:cs="Calibri"/>
                <w:color w:val="1A1A1A"/>
                <w:sz w:val="16"/>
                <w:szCs w:val="16"/>
              </w:rPr>
              <w:t>NY Department of Environmental Conservation (DEC) and NYSERDA</w:t>
            </w:r>
          </w:p>
        </w:tc>
      </w:tr>
      <w:tr w:rsidR="008B6C73" w14:paraId="50E0AF06"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19CB0627" w14:textId="77777777" w:rsidR="008B6C73" w:rsidRDefault="00000000">
            <w:r>
              <w:rPr>
                <w:rFonts w:ascii="Calibri" w:eastAsia="Calibri" w:hAnsi="Calibri" w:cs="Calibri"/>
                <w:b/>
                <w:bCs/>
                <w:color w:val="3D1F5C"/>
                <w:sz w:val="16"/>
                <w:szCs w:val="16"/>
              </w:rPr>
              <w:t>Mechanism</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1CB7C3D6" w14:textId="77777777" w:rsidR="008B6C73" w:rsidRDefault="00000000">
            <w:r>
              <w:rPr>
                <w:rFonts w:ascii="Calibri" w:eastAsia="Calibri" w:hAnsi="Calibri" w:cs="Calibri"/>
                <w:color w:val="1A1A1A"/>
                <w:sz w:val="16"/>
                <w:szCs w:val="16"/>
              </w:rPr>
              <w:t>Declining pollution cap; covered companies purchase emissions allowances at quarterly auctions</w:t>
            </w:r>
          </w:p>
        </w:tc>
      </w:tr>
      <w:tr w:rsidR="008B6C73" w14:paraId="0296AB98"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56A7618E" w14:textId="77777777" w:rsidR="008B6C73" w:rsidRDefault="00000000">
            <w:r>
              <w:rPr>
                <w:rFonts w:ascii="Calibri" w:eastAsia="Calibri" w:hAnsi="Calibri" w:cs="Calibri"/>
                <w:b/>
                <w:bCs/>
                <w:color w:val="3D1F5C"/>
                <w:sz w:val="16"/>
                <w:szCs w:val="16"/>
              </w:rPr>
              <w:t>Revenue Destination</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6E565F66" w14:textId="77777777" w:rsidR="008B6C73" w:rsidRDefault="00000000">
            <w:r>
              <w:rPr>
                <w:rFonts w:ascii="Calibri" w:eastAsia="Calibri" w:hAnsi="Calibri" w:cs="Calibri"/>
                <w:color w:val="1A1A1A"/>
                <w:sz w:val="16"/>
                <w:szCs w:val="16"/>
              </w:rPr>
              <w:t>Climate Action Fund — financing climate programs and consumer affordability measures</w:t>
            </w:r>
          </w:p>
        </w:tc>
      </w:tr>
      <w:tr w:rsidR="008B6C73" w14:paraId="7566B160"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69418A1B" w14:textId="77777777" w:rsidR="008B6C73" w:rsidRDefault="00000000">
            <w:r>
              <w:rPr>
                <w:rFonts w:ascii="Calibri" w:eastAsia="Calibri" w:hAnsi="Calibri" w:cs="Calibri"/>
                <w:b/>
                <w:bCs/>
                <w:color w:val="3D1F5C"/>
                <w:sz w:val="16"/>
                <w:szCs w:val="16"/>
              </w:rPr>
              <w:t>Equity Provisions</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125C2E3E" w14:textId="77777777" w:rsidR="008B6C73" w:rsidRDefault="00000000">
            <w:r>
              <w:rPr>
                <w:rFonts w:ascii="Calibri" w:eastAsia="Calibri" w:hAnsi="Calibri" w:cs="Calibri"/>
                <w:color w:val="1A1A1A"/>
                <w:sz w:val="16"/>
                <w:szCs w:val="16"/>
              </w:rPr>
              <w:t>Environmental-justice provisions direct a share of proceeds toward disadvantaged communities</w:t>
            </w:r>
          </w:p>
        </w:tc>
      </w:tr>
      <w:tr w:rsidR="008B6C73" w14:paraId="4662A873"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7FAF9A32" w14:textId="77777777" w:rsidR="008B6C73" w:rsidRDefault="00000000">
            <w:r>
              <w:rPr>
                <w:rFonts w:ascii="Calibri" w:eastAsia="Calibri" w:hAnsi="Calibri" w:cs="Calibri"/>
                <w:b/>
                <w:bCs/>
                <w:color w:val="3D1F5C"/>
                <w:sz w:val="16"/>
                <w:szCs w:val="16"/>
              </w:rPr>
              <w:t>Precedent Program</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0EBB66C7" w14:textId="77777777" w:rsidR="008B6C73" w:rsidRDefault="00000000">
            <w:r>
              <w:rPr>
                <w:rFonts w:ascii="Calibri" w:eastAsia="Calibri" w:hAnsi="Calibri" w:cs="Calibri"/>
                <w:color w:val="1A1A1A"/>
                <w:sz w:val="16"/>
                <w:szCs w:val="16"/>
              </w:rPr>
              <w:t>NY's RGGI participation provides the institutional precedent and evidence base for NYCI design</w:t>
            </w:r>
          </w:p>
        </w:tc>
      </w:tr>
      <w:tr w:rsidR="008B6C73" w14:paraId="4F317E69"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51E51A8B" w14:textId="77777777" w:rsidR="008B6C73" w:rsidRDefault="00000000">
            <w:r>
              <w:rPr>
                <w:rFonts w:ascii="Calibri" w:eastAsia="Calibri" w:hAnsi="Calibri" w:cs="Calibri"/>
                <w:b/>
                <w:bCs/>
                <w:color w:val="3D1F5C"/>
                <w:sz w:val="16"/>
                <w:szCs w:val="16"/>
              </w:rPr>
              <w:t>Development Process</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5D382D5F" w14:textId="77777777" w:rsidR="008B6C73" w:rsidRDefault="00000000">
            <w:r>
              <w:rPr>
                <w:rFonts w:ascii="Calibri" w:eastAsia="Calibri" w:hAnsi="Calibri" w:cs="Calibri"/>
                <w:color w:val="1A1A1A"/>
                <w:sz w:val="16"/>
                <w:szCs w:val="16"/>
              </w:rPr>
              <w:t>Ongoing public engagement, design work, and litigation pressure from environmental and community organizations</w:t>
            </w:r>
          </w:p>
        </w:tc>
      </w:tr>
    </w:tbl>
    <w:p w14:paraId="38CB676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806866A"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6E49908F"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73BB11E" w14:textId="77777777" w:rsidR="008B6C73" w:rsidRDefault="00000000">
            <w:r>
              <w:rPr>
                <w:rFonts w:ascii="Calibri" w:eastAsia="Calibri" w:hAnsi="Calibri" w:cs="Calibri"/>
                <w:b/>
                <w:bCs/>
                <w:color w:val="6B3FA0"/>
                <w:sz w:val="16"/>
                <w:szCs w:val="16"/>
              </w:rPr>
              <w:t>HOW IT WORKS</w:t>
            </w:r>
          </w:p>
        </w:tc>
      </w:tr>
    </w:tbl>
    <w:p w14:paraId="5D5F8B64"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7A720723" w14:textId="77777777">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357350F9" w14:textId="77777777" w:rsidR="008B6C73" w:rsidRDefault="00000000">
            <w:pPr>
              <w:spacing w:after="30"/>
            </w:pPr>
            <w:r>
              <w:rPr>
                <w:rFonts w:ascii="Calibri" w:eastAsia="Calibri" w:hAnsi="Calibri" w:cs="Calibri"/>
                <w:b/>
                <w:bCs/>
                <w:color w:val="6B3FA0"/>
                <w:sz w:val="16"/>
                <w:szCs w:val="16"/>
              </w:rPr>
              <w:t>① Cap Is Set &amp; Declines</w:t>
            </w:r>
          </w:p>
          <w:p w14:paraId="23F62B8A" w14:textId="77777777" w:rsidR="008B6C73" w:rsidRDefault="00000000">
            <w:r>
              <w:rPr>
                <w:rFonts w:ascii="Calibri" w:eastAsia="Calibri" w:hAnsi="Calibri" w:cs="Calibri"/>
                <w:color w:val="1A1A1A"/>
                <w:sz w:val="16"/>
                <w:szCs w:val="16"/>
              </w:rPr>
              <w:t>DEC establishes a statewide emissions cap covering major sources. The cap declines annually, requiring covered entities to reduce emissions or purchase allowances from others.</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35F100C2" w14:textId="77777777" w:rsidR="008B6C73" w:rsidRDefault="00000000">
            <w:pPr>
              <w:spacing w:after="30"/>
            </w:pPr>
            <w:r>
              <w:rPr>
                <w:rFonts w:ascii="Calibri" w:eastAsia="Calibri" w:hAnsi="Calibri" w:cs="Calibri"/>
                <w:b/>
                <w:bCs/>
                <w:color w:val="6B3FA0"/>
                <w:sz w:val="16"/>
                <w:szCs w:val="16"/>
              </w:rPr>
              <w:t>② Quarterly Allowance Auctions</w:t>
            </w:r>
          </w:p>
          <w:p w14:paraId="79B6F215" w14:textId="77777777" w:rsidR="008B6C73" w:rsidRDefault="00000000">
            <w:r>
              <w:rPr>
                <w:rFonts w:ascii="Calibri" w:eastAsia="Calibri" w:hAnsi="Calibri" w:cs="Calibri"/>
                <w:color w:val="1A1A1A"/>
                <w:sz w:val="16"/>
                <w:szCs w:val="16"/>
              </w:rPr>
              <w:t>Covered companies bid for allowances at quarterly auctions administered by DEC/NYSERDA. The auction price is determined by market demand within the cap framework.</w:t>
            </w:r>
          </w:p>
        </w:tc>
      </w:tr>
      <w:tr w:rsidR="008B6C73" w14:paraId="0FF1DFA0"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0388BF22" w14:textId="77777777" w:rsidR="008B6C73" w:rsidRDefault="00000000">
            <w:pPr>
              <w:spacing w:after="30"/>
            </w:pPr>
            <w:r>
              <w:rPr>
                <w:rFonts w:ascii="Calibri" w:eastAsia="Calibri" w:hAnsi="Calibri" w:cs="Calibri"/>
                <w:b/>
                <w:bCs/>
                <w:color w:val="6B3FA0"/>
                <w:sz w:val="16"/>
                <w:szCs w:val="16"/>
              </w:rPr>
              <w:t>③ Revenue Flows to Climate Action Fund</w:t>
            </w:r>
          </w:p>
          <w:p w14:paraId="301920BE" w14:textId="77777777" w:rsidR="008B6C73" w:rsidRDefault="00000000">
            <w:r>
              <w:rPr>
                <w:rFonts w:ascii="Calibri" w:eastAsia="Calibri" w:hAnsi="Calibri" w:cs="Calibri"/>
                <w:color w:val="1A1A1A"/>
                <w:sz w:val="16"/>
                <w:szCs w:val="16"/>
              </w:rPr>
              <w:t>All auction proceeds enter the Climate Action Fund. Revenue is reinvested in climate programs, weatherization, bill assistance, and transition support for affected communities.</w:t>
            </w:r>
          </w:p>
        </w:tc>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4F09E500" w14:textId="77777777" w:rsidR="008B6C73" w:rsidRDefault="00000000">
            <w:pPr>
              <w:spacing w:after="30"/>
            </w:pPr>
            <w:r>
              <w:rPr>
                <w:rFonts w:ascii="Calibri" w:eastAsia="Calibri" w:hAnsi="Calibri" w:cs="Calibri"/>
                <w:b/>
                <w:bCs/>
                <w:color w:val="6B3FA0"/>
                <w:sz w:val="16"/>
                <w:szCs w:val="16"/>
              </w:rPr>
              <w:t>④ Equity Targeting</w:t>
            </w:r>
          </w:p>
          <w:p w14:paraId="49A311E2" w14:textId="77777777" w:rsidR="008B6C73" w:rsidRDefault="00000000">
            <w:r>
              <w:rPr>
                <w:rFonts w:ascii="Calibri" w:eastAsia="Calibri" w:hAnsi="Calibri" w:cs="Calibri"/>
                <w:color w:val="1A1A1A"/>
                <w:sz w:val="16"/>
                <w:szCs w:val="16"/>
              </w:rPr>
              <w:t>CLCPA equity provisions require that a defined share of Climate Action Fund proceeds be directed toward disadvantaged communities, creating a durable affordability funding stream.</w:t>
            </w:r>
          </w:p>
        </w:tc>
      </w:tr>
    </w:tbl>
    <w:p w14:paraId="4D1CAC67"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4FF17341"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600EDCD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53BBDE9" w14:textId="77777777" w:rsidR="008B6C73" w:rsidRDefault="00000000">
            <w:r>
              <w:rPr>
                <w:rFonts w:ascii="Calibri" w:eastAsia="Calibri" w:hAnsi="Calibri" w:cs="Calibri"/>
                <w:b/>
                <w:bCs/>
                <w:color w:val="6B3FA0"/>
                <w:sz w:val="16"/>
                <w:szCs w:val="16"/>
              </w:rPr>
              <w:t>ENABLING CONDITIONS &amp; REPLICATION</w:t>
            </w:r>
          </w:p>
        </w:tc>
      </w:tr>
    </w:tbl>
    <w:p w14:paraId="7CDF55C2"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13621C17" w14:textId="77777777">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1EE9E8D1"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0E955ECA" w14:textId="77777777" w:rsidR="008B6C73" w:rsidRDefault="00000000">
            <w:r>
              <w:rPr>
                <w:rFonts w:ascii="Calibri" w:eastAsia="Calibri" w:hAnsi="Calibri" w:cs="Calibri"/>
                <w:b/>
                <w:bCs/>
                <w:color w:val="FFFFFF"/>
                <w:sz w:val="16"/>
                <w:szCs w:val="16"/>
              </w:rPr>
              <w:t>Who Can Replicate This / City Opportunity</w:t>
            </w:r>
          </w:p>
        </w:tc>
      </w:tr>
      <w:tr w:rsidR="008B6C73" w14:paraId="24801E66"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35DC5461" w14:textId="77777777" w:rsidR="008B6C73" w:rsidRDefault="00000000">
            <w:r>
              <w:rPr>
                <w:rFonts w:ascii="Calibri" w:eastAsia="Calibri" w:hAnsi="Calibri" w:cs="Calibri"/>
                <w:color w:val="1A1A1A"/>
                <w:sz w:val="16"/>
                <w:szCs w:val="16"/>
              </w:rPr>
              <w:t>CLCPA mandates the program, creating a legal obligation driving design and litigation pressure</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609DE5A7" w14:textId="77777777" w:rsidR="008B6C73" w:rsidRDefault="00000000">
            <w:r>
              <w:rPr>
                <w:rFonts w:ascii="Calibri" w:eastAsia="Calibri" w:hAnsi="Calibri" w:cs="Calibri"/>
                <w:color w:val="1A1A1A"/>
                <w:sz w:val="16"/>
                <w:szCs w:val="16"/>
              </w:rPr>
              <w:t>NYC and other NY cities should engage the design process to ensure revenue flows to local affordability programs</w:t>
            </w:r>
          </w:p>
        </w:tc>
      </w:tr>
      <w:tr w:rsidR="008B6C73" w14:paraId="57C70604"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621AE3A7" w14:textId="77777777" w:rsidR="008B6C73" w:rsidRDefault="00000000">
            <w:r>
              <w:rPr>
                <w:rFonts w:ascii="Calibri" w:eastAsia="Calibri" w:hAnsi="Calibri" w:cs="Calibri"/>
                <w:color w:val="1A1A1A"/>
                <w:sz w:val="16"/>
                <w:szCs w:val="16"/>
              </w:rPr>
              <w:t>NY's RGGI experience provides a proven institutional model for cap-and-invest administration</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3C9C6B24" w14:textId="77777777" w:rsidR="008B6C73" w:rsidRDefault="00000000">
            <w:r>
              <w:rPr>
                <w:rFonts w:ascii="Calibri" w:eastAsia="Calibri" w:hAnsi="Calibri" w:cs="Calibri"/>
                <w:color w:val="1A1A1A"/>
                <w:sz w:val="16"/>
                <w:szCs w:val="16"/>
              </w:rPr>
              <w:t>Cities should build programs ready to absorb Climate Action Fund revenue at scale when NYCI launches</w:t>
            </w:r>
          </w:p>
        </w:tc>
      </w:tr>
      <w:tr w:rsidR="008B6C73" w14:paraId="2D097882"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093E9B4D" w14:textId="77777777" w:rsidR="008B6C73" w:rsidRDefault="00000000">
            <w:r>
              <w:rPr>
                <w:rFonts w:ascii="Calibri" w:eastAsia="Calibri" w:hAnsi="Calibri" w:cs="Calibri"/>
                <w:color w:val="1A1A1A"/>
                <w:sz w:val="16"/>
                <w:szCs w:val="16"/>
              </w:rPr>
              <w:t>Environmental and community organizations actively advocating for stronger equity provisions</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41D89644" w14:textId="77777777" w:rsidR="008B6C73" w:rsidRDefault="00000000">
            <w:r>
              <w:rPr>
                <w:rFonts w:ascii="Calibri" w:eastAsia="Calibri" w:hAnsi="Calibri" w:cs="Calibri"/>
                <w:color w:val="1A1A1A"/>
                <w:sz w:val="16"/>
                <w:szCs w:val="16"/>
              </w:rPr>
              <w:t>Cities with established community partners and navigator networks are best positioned to deploy NYCI proceeds</w:t>
            </w:r>
          </w:p>
        </w:tc>
      </w:tr>
      <w:tr w:rsidR="008B6C73" w14:paraId="76CF72EC"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5F60E9D8" w14:textId="77777777" w:rsidR="008B6C73" w:rsidRDefault="00000000">
            <w:r>
              <w:rPr>
                <w:rFonts w:ascii="Calibri" w:eastAsia="Calibri" w:hAnsi="Calibri" w:cs="Calibri"/>
                <w:color w:val="1A1A1A"/>
                <w:sz w:val="16"/>
                <w:szCs w:val="16"/>
              </w:rPr>
              <w:t>DEC/NYSERDA have existing institutional capacity to administer complex regulatory programs</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23F7DC69" w14:textId="77777777" w:rsidR="008B6C73" w:rsidRDefault="00000000">
            <w:r>
              <w:rPr>
                <w:rFonts w:ascii="Calibri" w:eastAsia="Calibri" w:hAnsi="Calibri" w:cs="Calibri"/>
                <w:color w:val="1A1A1A"/>
                <w:sz w:val="16"/>
                <w:szCs w:val="16"/>
              </w:rPr>
              <w:t>City advocates should push for direct city allocation mechanisms rather than relying on state pass-through</w:t>
            </w:r>
          </w:p>
        </w:tc>
      </w:tr>
      <w:tr w:rsidR="008B6C73" w14:paraId="21938CA4"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0F78AC37" w14:textId="77777777" w:rsidR="008B6C73" w:rsidRDefault="00000000">
            <w:r>
              <w:rPr>
                <w:rFonts w:ascii="Calibri" w:eastAsia="Calibri" w:hAnsi="Calibri" w:cs="Calibri"/>
                <w:color w:val="1A1A1A"/>
                <w:sz w:val="16"/>
                <w:szCs w:val="16"/>
              </w:rPr>
              <w:t>Federal climate funding (IRA) creates co-investment opportunities alongside NYCI revenue</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237383C9" w14:textId="77777777" w:rsidR="008B6C73" w:rsidRDefault="00000000">
            <w:r>
              <w:rPr>
                <w:rFonts w:ascii="Calibri" w:eastAsia="Calibri" w:hAnsi="Calibri" w:cs="Calibri"/>
                <w:color w:val="1A1A1A"/>
                <w:sz w:val="16"/>
                <w:szCs w:val="16"/>
              </w:rPr>
              <w:t>Cities in states without cap-and-invest programs should monitor NYCI as a replication model</w:t>
            </w:r>
          </w:p>
        </w:tc>
      </w:tr>
    </w:tbl>
    <w:p w14:paraId="34872228" w14:textId="77777777" w:rsidR="008B6C73" w:rsidRDefault="008B6C73">
      <w:pPr>
        <w:spacing w:after="30"/>
      </w:pPr>
    </w:p>
    <w:p w14:paraId="3F36234F" w14:textId="77777777" w:rsidR="008B6C73" w:rsidRDefault="00000000">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24476"/>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2026-07-11T02:03:00Z</dcterms:created>
  <dcterms:modified xsi:type="dcterms:W3CDTF">2026-07-11T02:03:00Z</dcterms:modified>
</cp:coreProperties>
</file>