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3A0CE0" w14:textId="77777777" w:rsidR="008B6C73" w:rsidRDefault="008B6C73">
      <w:pPr>
        <w:spacing w:after="30"/>
      </w:pPr>
    </w:p>
    <w:p w14:paraId="1F0CB204" w14:textId="56DBAE78" w:rsidR="008B6C73" w:rsidRDefault="008B6C73"/>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8B6C73" w14:paraId="76949F52" w14:textId="77777777">
        <w:tc>
          <w:tcPr>
            <w:tcW w:w="0" w:type="auto"/>
            <w:tcBorders>
              <w:top w:val="none" w:sz="0" w:space="0" w:color="FFFFFF"/>
              <w:left w:val="none" w:sz="0" w:space="0" w:color="FFFFFF"/>
              <w:bottom w:val="none" w:sz="0" w:space="0" w:color="FFFFFF"/>
              <w:right w:val="none" w:sz="0" w:space="0" w:color="FFFFFF"/>
            </w:tcBorders>
            <w:shd w:val="clear" w:color="auto" w:fill="1B3A5C"/>
            <w:tcMar>
              <w:top w:w="50" w:type="dxa"/>
              <w:left w:w="160" w:type="dxa"/>
              <w:bottom w:w="20" w:type="dxa"/>
              <w:right w:w="160" w:type="dxa"/>
            </w:tcMar>
          </w:tcPr>
          <w:p w14:paraId="4515F63F" w14:textId="77777777" w:rsidR="008B6C73" w:rsidRDefault="00000000">
            <w:r>
              <w:rPr>
                <w:rFonts w:ascii="Calibri" w:eastAsia="Calibri" w:hAnsi="Calibri" w:cs="Calibri"/>
                <w:b/>
                <w:bCs/>
                <w:color w:val="BBCFCC"/>
                <w:sz w:val="13"/>
                <w:szCs w:val="13"/>
              </w:rPr>
              <w:t xml:space="preserve">PATHWAY </w:t>
            </w:r>
            <w:proofErr w:type="gramStart"/>
            <w:r>
              <w:rPr>
                <w:rFonts w:ascii="Calibri" w:eastAsia="Calibri" w:hAnsi="Calibri" w:cs="Calibri"/>
                <w:b/>
                <w:bCs/>
                <w:color w:val="BBCFCC"/>
                <w:sz w:val="13"/>
                <w:szCs w:val="13"/>
              </w:rPr>
              <w:t>1.1  ·</w:t>
            </w:r>
            <w:proofErr w:type="gramEnd"/>
            <w:r>
              <w:rPr>
                <w:rFonts w:ascii="Calibri" w:eastAsia="Calibri" w:hAnsi="Calibri" w:cs="Calibri"/>
                <w:b/>
                <w:bCs/>
                <w:color w:val="BBCFCC"/>
                <w:sz w:val="13"/>
                <w:szCs w:val="13"/>
              </w:rPr>
              <w:t xml:space="preserve">  UNIVERSAL PATHWAY — DIGITAL NAVIGATION &amp; APPLICATION SIMPLIFICATION</w:t>
            </w:r>
          </w:p>
        </w:tc>
      </w:tr>
      <w:tr w:rsidR="008B6C73" w14:paraId="265DFFDA" w14:textId="77777777">
        <w:tc>
          <w:tcPr>
            <w:tcW w:w="0" w:type="auto"/>
            <w:tcBorders>
              <w:top w:val="none" w:sz="0" w:space="0" w:color="FFFFFF"/>
              <w:left w:val="none" w:sz="0" w:space="0" w:color="FFFFFF"/>
              <w:bottom w:val="none" w:sz="0" w:space="0" w:color="FFFFFF"/>
              <w:right w:val="none" w:sz="0" w:space="0" w:color="FFFFFF"/>
            </w:tcBorders>
            <w:shd w:val="clear" w:color="auto" w:fill="1B3A5C"/>
            <w:tcMar>
              <w:top w:w="20" w:type="dxa"/>
              <w:left w:w="160" w:type="dxa"/>
              <w:bottom w:w="10" w:type="dxa"/>
              <w:right w:w="160" w:type="dxa"/>
            </w:tcMar>
          </w:tcPr>
          <w:p w14:paraId="3EB0F96F" w14:textId="77777777" w:rsidR="008B6C73" w:rsidRDefault="00000000">
            <w:r>
              <w:rPr>
                <w:rFonts w:ascii="Calibri" w:eastAsia="Calibri" w:hAnsi="Calibri" w:cs="Calibri"/>
                <w:b/>
                <w:bCs/>
                <w:color w:val="FFFFFF"/>
                <w:sz w:val="46"/>
                <w:szCs w:val="46"/>
              </w:rPr>
              <w:t>Seattle CiviForm</w:t>
            </w:r>
          </w:p>
        </w:tc>
      </w:tr>
      <w:tr w:rsidR="008B6C73" w14:paraId="7EE1FB6B" w14:textId="77777777">
        <w:tc>
          <w:tcPr>
            <w:tcW w:w="0" w:type="auto"/>
            <w:tcBorders>
              <w:top w:val="none" w:sz="0" w:space="0" w:color="FFFFFF"/>
              <w:left w:val="none" w:sz="0" w:space="0" w:color="FFFFFF"/>
              <w:bottom w:val="none" w:sz="0" w:space="0" w:color="FFFFFF"/>
              <w:right w:val="none" w:sz="0" w:space="0" w:color="FFFFFF"/>
            </w:tcBorders>
            <w:shd w:val="clear" w:color="auto" w:fill="1B3A5C"/>
            <w:tcMar>
              <w:top w:w="4" w:type="dxa"/>
              <w:left w:w="160" w:type="dxa"/>
              <w:bottom w:w="4" w:type="dxa"/>
              <w:right w:w="160" w:type="dxa"/>
            </w:tcMar>
          </w:tcPr>
          <w:p w14:paraId="7F2D1094" w14:textId="77777777" w:rsidR="008B6C73" w:rsidRDefault="00000000">
            <w:r>
              <w:rPr>
                <w:rFonts w:ascii="Calibri" w:eastAsia="Calibri" w:hAnsi="Calibri" w:cs="Calibri"/>
                <w:b/>
                <w:bCs/>
                <w:color w:val="D8F0ED"/>
                <w:sz w:val="16"/>
                <w:szCs w:val="16"/>
              </w:rPr>
              <w:t xml:space="preserve">Seattle Innovation &amp; Performance </w:t>
            </w:r>
            <w:proofErr w:type="gramStart"/>
            <w:r>
              <w:rPr>
                <w:rFonts w:ascii="Calibri" w:eastAsia="Calibri" w:hAnsi="Calibri" w:cs="Calibri"/>
                <w:b/>
                <w:bCs/>
                <w:color w:val="D8F0ED"/>
                <w:sz w:val="16"/>
                <w:szCs w:val="16"/>
              </w:rPr>
              <w:t>Team  ·</w:t>
            </w:r>
            <w:proofErr w:type="gramEnd"/>
            <w:r>
              <w:rPr>
                <w:rFonts w:ascii="Calibri" w:eastAsia="Calibri" w:hAnsi="Calibri" w:cs="Calibri"/>
                <w:b/>
                <w:bCs/>
                <w:color w:val="D8F0ED"/>
                <w:sz w:val="16"/>
                <w:szCs w:val="16"/>
              </w:rPr>
              <w:t xml:space="preserve">  Google.org </w:t>
            </w:r>
            <w:proofErr w:type="gramStart"/>
            <w:r>
              <w:rPr>
                <w:rFonts w:ascii="Calibri" w:eastAsia="Calibri" w:hAnsi="Calibri" w:cs="Calibri"/>
                <w:b/>
                <w:bCs/>
                <w:color w:val="D8F0ED"/>
                <w:sz w:val="16"/>
                <w:szCs w:val="16"/>
              </w:rPr>
              <w:t>Fellows  ·</w:t>
            </w:r>
            <w:proofErr w:type="gramEnd"/>
            <w:r>
              <w:rPr>
                <w:rFonts w:ascii="Calibri" w:eastAsia="Calibri" w:hAnsi="Calibri" w:cs="Calibri"/>
                <w:b/>
                <w:bCs/>
                <w:color w:val="D8F0ED"/>
                <w:sz w:val="16"/>
                <w:szCs w:val="16"/>
              </w:rPr>
              <w:t xml:space="preserve">  </w:t>
            </w:r>
            <w:proofErr w:type="spellStart"/>
            <w:proofErr w:type="gramStart"/>
            <w:r>
              <w:rPr>
                <w:rFonts w:ascii="Calibri" w:eastAsia="Calibri" w:hAnsi="Calibri" w:cs="Calibri"/>
                <w:b/>
                <w:bCs/>
                <w:color w:val="D8F0ED"/>
                <w:sz w:val="16"/>
                <w:szCs w:val="16"/>
              </w:rPr>
              <w:t>Exygy</w:t>
            </w:r>
            <w:proofErr w:type="spellEnd"/>
            <w:r>
              <w:rPr>
                <w:rFonts w:ascii="Calibri" w:eastAsia="Calibri" w:hAnsi="Calibri" w:cs="Calibri"/>
                <w:b/>
                <w:bCs/>
                <w:color w:val="D8F0ED"/>
                <w:sz w:val="16"/>
                <w:szCs w:val="16"/>
              </w:rPr>
              <w:t xml:space="preserve">  ·</w:t>
            </w:r>
            <w:proofErr w:type="gramEnd"/>
            <w:r>
              <w:rPr>
                <w:rFonts w:ascii="Calibri" w:eastAsia="Calibri" w:hAnsi="Calibri" w:cs="Calibri"/>
                <w:b/>
                <w:bCs/>
                <w:color w:val="D8F0ED"/>
                <w:sz w:val="16"/>
                <w:szCs w:val="16"/>
              </w:rPr>
              <w:t xml:space="preserve">  Seattle, WA</w:t>
            </w:r>
          </w:p>
        </w:tc>
      </w:tr>
      <w:tr w:rsidR="008B6C73" w14:paraId="7C75DC41" w14:textId="77777777">
        <w:tc>
          <w:tcPr>
            <w:tcW w:w="0" w:type="auto"/>
            <w:tcBorders>
              <w:top w:val="none" w:sz="0" w:space="0" w:color="FFFFFF"/>
              <w:left w:val="none" w:sz="0" w:space="0" w:color="FFFFFF"/>
              <w:bottom w:val="none" w:sz="0" w:space="0" w:color="FFFFFF"/>
              <w:right w:val="none" w:sz="0" w:space="0" w:color="FFFFFF"/>
            </w:tcBorders>
            <w:shd w:val="clear" w:color="auto" w:fill="163151"/>
            <w:tcMar>
              <w:top w:w="40" w:type="dxa"/>
              <w:left w:w="160" w:type="dxa"/>
              <w:bottom w:w="40" w:type="dxa"/>
              <w:right w:w="160" w:type="dxa"/>
            </w:tcMar>
          </w:tcPr>
          <w:p w14:paraId="3E77293D" w14:textId="77777777" w:rsidR="008B6C73" w:rsidRDefault="00000000">
            <w:r>
              <w:rPr>
                <w:rFonts w:ascii="Calibri" w:eastAsia="Calibri" w:hAnsi="Calibri" w:cs="Calibri"/>
                <w:b/>
                <w:bCs/>
                <w:color w:val="AACFE8"/>
                <w:sz w:val="15"/>
                <w:szCs w:val="15"/>
              </w:rPr>
              <w:t xml:space="preserve">20+ </w:t>
            </w:r>
            <w:proofErr w:type="gramStart"/>
            <w:r>
              <w:rPr>
                <w:rFonts w:ascii="Calibri" w:eastAsia="Calibri" w:hAnsi="Calibri" w:cs="Calibri"/>
                <w:b/>
                <w:bCs/>
                <w:color w:val="AACFE8"/>
                <w:sz w:val="15"/>
                <w:szCs w:val="15"/>
              </w:rPr>
              <w:t>Programs  ·</w:t>
            </w:r>
            <w:proofErr w:type="gramEnd"/>
            <w:r>
              <w:rPr>
                <w:rFonts w:ascii="Calibri" w:eastAsia="Calibri" w:hAnsi="Calibri" w:cs="Calibri"/>
                <w:b/>
                <w:bCs/>
                <w:color w:val="AACFE8"/>
                <w:sz w:val="15"/>
                <w:szCs w:val="15"/>
              </w:rPr>
              <w:t xml:space="preserve">  10 </w:t>
            </w:r>
            <w:proofErr w:type="gramStart"/>
            <w:r>
              <w:rPr>
                <w:rFonts w:ascii="Calibri" w:eastAsia="Calibri" w:hAnsi="Calibri" w:cs="Calibri"/>
                <w:b/>
                <w:bCs/>
                <w:color w:val="AACFE8"/>
                <w:sz w:val="15"/>
                <w:szCs w:val="15"/>
              </w:rPr>
              <w:t>Agencies  ·</w:t>
            </w:r>
            <w:proofErr w:type="gramEnd"/>
            <w:r>
              <w:rPr>
                <w:rFonts w:ascii="Calibri" w:eastAsia="Calibri" w:hAnsi="Calibri" w:cs="Calibri"/>
                <w:b/>
                <w:bCs/>
                <w:color w:val="AACFE8"/>
                <w:sz w:val="15"/>
                <w:szCs w:val="15"/>
              </w:rPr>
              <w:t xml:space="preserve">  50,000+ </w:t>
            </w:r>
            <w:proofErr w:type="gramStart"/>
            <w:r>
              <w:rPr>
                <w:rFonts w:ascii="Calibri" w:eastAsia="Calibri" w:hAnsi="Calibri" w:cs="Calibri"/>
                <w:b/>
                <w:bCs/>
                <w:color w:val="AACFE8"/>
                <w:sz w:val="15"/>
                <w:szCs w:val="15"/>
              </w:rPr>
              <w:t>Applications  ·</w:t>
            </w:r>
            <w:proofErr w:type="gramEnd"/>
            <w:r>
              <w:rPr>
                <w:rFonts w:ascii="Calibri" w:eastAsia="Calibri" w:hAnsi="Calibri" w:cs="Calibri"/>
                <w:b/>
                <w:bCs/>
                <w:color w:val="AACFE8"/>
                <w:sz w:val="15"/>
                <w:szCs w:val="15"/>
              </w:rPr>
              <w:t xml:space="preserve">  75% Reduction in Application </w:t>
            </w:r>
            <w:proofErr w:type="gramStart"/>
            <w:r>
              <w:rPr>
                <w:rFonts w:ascii="Calibri" w:eastAsia="Calibri" w:hAnsi="Calibri" w:cs="Calibri"/>
                <w:b/>
                <w:bCs/>
                <w:color w:val="AACFE8"/>
                <w:sz w:val="15"/>
                <w:szCs w:val="15"/>
              </w:rPr>
              <w:t>Time  ·</w:t>
            </w:r>
            <w:proofErr w:type="gramEnd"/>
            <w:r>
              <w:rPr>
                <w:rFonts w:ascii="Calibri" w:eastAsia="Calibri" w:hAnsi="Calibri" w:cs="Calibri"/>
                <w:b/>
                <w:bCs/>
                <w:color w:val="AACFE8"/>
                <w:sz w:val="15"/>
                <w:szCs w:val="15"/>
              </w:rPr>
              <w:t xml:space="preserve">  No State Legislation Required</w:t>
            </w:r>
          </w:p>
        </w:tc>
      </w:tr>
    </w:tbl>
    <w:p w14:paraId="2F398DB7" w14:textId="77777777" w:rsidR="008B6C73" w:rsidRDefault="008B6C73">
      <w:pPr>
        <w:pBdr>
          <w:bottom w:val="single" w:sz="6" w:space="1" w:color="C0D6EA"/>
        </w:pBdr>
      </w:pPr>
    </w:p>
    <w:p w14:paraId="4DFE785A" w14:textId="77777777" w:rsidR="008B6C73" w:rsidRDefault="008B6C73">
      <w:pPr>
        <w:spacing w:after="3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457AA558" w14:textId="77777777">
        <w:tc>
          <w:tcPr>
            <w:tcW w:w="180" w:type="dxa"/>
            <w:tcBorders>
              <w:top w:val="none" w:sz="0" w:space="0" w:color="FFFFFF"/>
              <w:left w:val="none" w:sz="0" w:space="0" w:color="FFFFFF"/>
              <w:bottom w:val="none" w:sz="0" w:space="0" w:color="FFFFFF"/>
              <w:right w:val="none" w:sz="0" w:space="0" w:color="FFFFFF"/>
            </w:tcBorders>
            <w:shd w:val="clear" w:color="auto" w:fill="2C5F8A"/>
            <w:tcMar>
              <w:top w:w="0" w:type="dxa"/>
              <w:left w:w="0" w:type="dxa"/>
              <w:bottom w:w="0" w:type="dxa"/>
              <w:right w:w="0" w:type="dxa"/>
            </w:tcMar>
          </w:tcPr>
          <w:p w14:paraId="365BEA7D"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7F3F966C" w14:textId="77777777" w:rsidR="008B6C73" w:rsidRDefault="00000000">
            <w:r>
              <w:rPr>
                <w:rFonts w:ascii="Calibri" w:eastAsia="Calibri" w:hAnsi="Calibri" w:cs="Calibri"/>
                <w:b/>
                <w:bCs/>
                <w:color w:val="2C5F8A"/>
                <w:sz w:val="16"/>
                <w:szCs w:val="16"/>
              </w:rPr>
              <w:t>WHAT IS IT?</w:t>
            </w:r>
          </w:p>
        </w:tc>
      </w:tr>
    </w:tbl>
    <w:p w14:paraId="0D260168" w14:textId="77777777" w:rsidR="008B6C73" w:rsidRDefault="008B6C73">
      <w:pPr>
        <w:spacing w:after="25"/>
      </w:pPr>
    </w:p>
    <w:p w14:paraId="06109D7F" w14:textId="77777777" w:rsidR="008B6C73" w:rsidRDefault="00000000">
      <w:r>
        <w:rPr>
          <w:rFonts w:ascii="Calibri" w:eastAsia="Calibri" w:hAnsi="Calibri" w:cs="Calibri"/>
          <w:color w:val="1A1A1A"/>
          <w:sz w:val="16"/>
          <w:szCs w:val="16"/>
        </w:rPr>
        <w:t xml:space="preserve">CiviForm is Seattle's unified, mobile-friendly application platform that allows residents to apply for multiple city programs through a single, simplified form. Developed by the Seattle Innovation &amp; Performance Team in partnership with Google.org Fellows (20 full-time engineers) and the design firm </w:t>
      </w:r>
      <w:proofErr w:type="spellStart"/>
      <w:r>
        <w:rPr>
          <w:rFonts w:ascii="Calibri" w:eastAsia="Calibri" w:hAnsi="Calibri" w:cs="Calibri"/>
          <w:color w:val="1A1A1A"/>
          <w:sz w:val="16"/>
          <w:szCs w:val="16"/>
        </w:rPr>
        <w:t>Exygy</w:t>
      </w:r>
      <w:proofErr w:type="spellEnd"/>
      <w:r>
        <w:rPr>
          <w:rFonts w:ascii="Calibri" w:eastAsia="Calibri" w:hAnsi="Calibri" w:cs="Calibri"/>
          <w:color w:val="1A1A1A"/>
          <w:sz w:val="16"/>
          <w:szCs w:val="16"/>
        </w:rPr>
        <w:t xml:space="preserve">, </w:t>
      </w:r>
      <w:proofErr w:type="spellStart"/>
      <w:r>
        <w:rPr>
          <w:rFonts w:ascii="Calibri" w:eastAsia="Calibri" w:hAnsi="Calibri" w:cs="Calibri"/>
          <w:color w:val="1A1A1A"/>
          <w:sz w:val="16"/>
          <w:szCs w:val="16"/>
        </w:rPr>
        <w:t>CiviForm</w:t>
      </w:r>
      <w:proofErr w:type="spellEnd"/>
      <w:r>
        <w:rPr>
          <w:rFonts w:ascii="Calibri" w:eastAsia="Calibri" w:hAnsi="Calibri" w:cs="Calibri"/>
          <w:color w:val="1A1A1A"/>
          <w:sz w:val="16"/>
          <w:szCs w:val="16"/>
        </w:rPr>
        <w:t xml:space="preserve"> consolidates more than 20 programs across 10 agencies — including utility-discount programs, childcare subsidies, and food-assistance supports. The platform removes redundant questions, uses progressive disclosure, and pre-fills information across applications to reduce administrative burden. Built to US Web Design Standards and exceeding federal accessibility requirements, it is designed to serve residents with varying digital literacy levels. CiviForm has reduced average application time from approximately 30 minutes to 6 minutes and has been adopted by multiple other jurisdictions. No state legislation was required.</w:t>
      </w:r>
    </w:p>
    <w:p w14:paraId="4676B2C8"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588E2A68" w14:textId="77777777">
        <w:tc>
          <w:tcPr>
            <w:tcW w:w="180" w:type="dxa"/>
            <w:tcBorders>
              <w:top w:val="none" w:sz="0" w:space="0" w:color="FFFFFF"/>
              <w:left w:val="none" w:sz="0" w:space="0" w:color="FFFFFF"/>
              <w:bottom w:val="none" w:sz="0" w:space="0" w:color="FFFFFF"/>
              <w:right w:val="none" w:sz="0" w:space="0" w:color="FFFFFF"/>
            </w:tcBorders>
            <w:shd w:val="clear" w:color="auto" w:fill="2C5F8A"/>
            <w:tcMar>
              <w:top w:w="0" w:type="dxa"/>
              <w:left w:w="0" w:type="dxa"/>
              <w:bottom w:w="0" w:type="dxa"/>
              <w:right w:w="0" w:type="dxa"/>
            </w:tcMar>
          </w:tcPr>
          <w:p w14:paraId="52B56B7C"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14E9632B" w14:textId="77777777" w:rsidR="008B6C73" w:rsidRDefault="00000000">
            <w:r>
              <w:rPr>
                <w:rFonts w:ascii="Calibri" w:eastAsia="Calibri" w:hAnsi="Calibri" w:cs="Calibri"/>
                <w:b/>
                <w:bCs/>
                <w:color w:val="2C5F8A"/>
                <w:sz w:val="16"/>
                <w:szCs w:val="16"/>
              </w:rPr>
              <w:t>EVIDENCE HIGHLIGHTS</w:t>
            </w:r>
          </w:p>
        </w:tc>
      </w:tr>
    </w:tbl>
    <w:p w14:paraId="60FDC40D"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7060"/>
      </w:tblGrid>
      <w:tr w:rsidR="008B6C73" w14:paraId="7347FD96" w14:textId="77777777">
        <w:tc>
          <w:tcPr>
            <w:tcW w:w="2300" w:type="dxa"/>
            <w:tcBorders>
              <w:top w:val="single" w:sz="4" w:space="0" w:color="C0D6EA"/>
              <w:left w:val="single" w:sz="4" w:space="0" w:color="C0D6EA"/>
              <w:bottom w:val="single" w:sz="4" w:space="0" w:color="C0D6EA"/>
              <w:right w:val="single" w:sz="4" w:space="0" w:color="C0D6EA"/>
            </w:tcBorders>
            <w:shd w:val="clear" w:color="auto" w:fill="DDEAF7"/>
            <w:tcMar>
              <w:top w:w="55" w:type="dxa"/>
              <w:left w:w="100" w:type="dxa"/>
              <w:bottom w:w="55" w:type="dxa"/>
              <w:right w:w="100" w:type="dxa"/>
            </w:tcMar>
          </w:tcPr>
          <w:p w14:paraId="025712A0" w14:textId="77777777" w:rsidR="008B6C73" w:rsidRDefault="00000000">
            <w:r>
              <w:rPr>
                <w:rFonts w:ascii="Calibri" w:eastAsia="Calibri" w:hAnsi="Calibri" w:cs="Calibri"/>
                <w:b/>
                <w:bCs/>
                <w:color w:val="1B3A5C"/>
                <w:sz w:val="16"/>
                <w:szCs w:val="16"/>
              </w:rPr>
              <w:t>Applications</w:t>
            </w:r>
          </w:p>
        </w:tc>
        <w:tc>
          <w:tcPr>
            <w:tcW w:w="706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00" w:type="dxa"/>
            </w:tcMar>
          </w:tcPr>
          <w:p w14:paraId="617226D1" w14:textId="77777777" w:rsidR="008B6C73" w:rsidRDefault="00000000">
            <w:r>
              <w:rPr>
                <w:rFonts w:ascii="Calibri" w:eastAsia="Calibri" w:hAnsi="Calibri" w:cs="Calibri"/>
                <w:color w:val="1A1A1A"/>
                <w:sz w:val="16"/>
                <w:szCs w:val="16"/>
              </w:rPr>
              <w:t>50,000+ applications submitted through CiviForm across 20+ programs and 10 agencies</w:t>
            </w:r>
          </w:p>
        </w:tc>
      </w:tr>
      <w:tr w:rsidR="008B6C73" w14:paraId="44E73334" w14:textId="77777777">
        <w:tc>
          <w:tcPr>
            <w:tcW w:w="2300" w:type="dxa"/>
            <w:tcBorders>
              <w:top w:val="single" w:sz="4" w:space="0" w:color="C0D6EA"/>
              <w:left w:val="single" w:sz="4" w:space="0" w:color="C0D6EA"/>
              <w:bottom w:val="single" w:sz="4" w:space="0" w:color="C0D6EA"/>
              <w:right w:val="single" w:sz="4" w:space="0" w:color="C0D6EA"/>
            </w:tcBorders>
            <w:shd w:val="clear" w:color="auto" w:fill="C9DCEF"/>
            <w:tcMar>
              <w:top w:w="55" w:type="dxa"/>
              <w:left w:w="100" w:type="dxa"/>
              <w:bottom w:w="55" w:type="dxa"/>
              <w:right w:w="100" w:type="dxa"/>
            </w:tcMar>
          </w:tcPr>
          <w:p w14:paraId="2BD85649" w14:textId="77777777" w:rsidR="008B6C73" w:rsidRDefault="00000000">
            <w:r>
              <w:rPr>
                <w:rFonts w:ascii="Calibri" w:eastAsia="Calibri" w:hAnsi="Calibri" w:cs="Calibri"/>
                <w:b/>
                <w:bCs/>
                <w:color w:val="1B3A5C"/>
                <w:sz w:val="16"/>
                <w:szCs w:val="16"/>
              </w:rPr>
              <w:t>Time Reduction</w:t>
            </w:r>
          </w:p>
        </w:tc>
        <w:tc>
          <w:tcPr>
            <w:tcW w:w="706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00" w:type="dxa"/>
            </w:tcMar>
          </w:tcPr>
          <w:p w14:paraId="2572EC7D" w14:textId="77777777" w:rsidR="008B6C73" w:rsidRDefault="00000000">
            <w:r>
              <w:rPr>
                <w:rFonts w:ascii="Calibri" w:eastAsia="Calibri" w:hAnsi="Calibri" w:cs="Calibri"/>
                <w:color w:val="1A1A1A"/>
                <w:sz w:val="16"/>
                <w:szCs w:val="16"/>
              </w:rPr>
              <w:t>Average completion time of 6 minutes, down from ~30 minutes — a 75% reduction in application burden</w:t>
            </w:r>
          </w:p>
        </w:tc>
      </w:tr>
      <w:tr w:rsidR="008B6C73" w14:paraId="3362308B" w14:textId="77777777">
        <w:tc>
          <w:tcPr>
            <w:tcW w:w="2300" w:type="dxa"/>
            <w:tcBorders>
              <w:top w:val="single" w:sz="4" w:space="0" w:color="C0D6EA"/>
              <w:left w:val="single" w:sz="4" w:space="0" w:color="C0D6EA"/>
              <w:bottom w:val="single" w:sz="4" w:space="0" w:color="C0D6EA"/>
              <w:right w:val="single" w:sz="4" w:space="0" w:color="C0D6EA"/>
            </w:tcBorders>
            <w:shd w:val="clear" w:color="auto" w:fill="DDEAF7"/>
            <w:tcMar>
              <w:top w:w="55" w:type="dxa"/>
              <w:left w:w="100" w:type="dxa"/>
              <w:bottom w:w="55" w:type="dxa"/>
              <w:right w:w="100" w:type="dxa"/>
            </w:tcMar>
          </w:tcPr>
          <w:p w14:paraId="74A429C7" w14:textId="77777777" w:rsidR="008B6C73" w:rsidRDefault="00000000">
            <w:r>
              <w:rPr>
                <w:rFonts w:ascii="Calibri" w:eastAsia="Calibri" w:hAnsi="Calibri" w:cs="Calibri"/>
                <w:b/>
                <w:bCs/>
                <w:color w:val="1B3A5C"/>
                <w:sz w:val="16"/>
                <w:szCs w:val="16"/>
              </w:rPr>
              <w:t>Multilingual Impact</w:t>
            </w:r>
          </w:p>
        </w:tc>
        <w:tc>
          <w:tcPr>
            <w:tcW w:w="706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00" w:type="dxa"/>
            </w:tcMar>
          </w:tcPr>
          <w:p w14:paraId="58E3B9F7" w14:textId="77777777" w:rsidR="008B6C73" w:rsidRDefault="00000000">
            <w:r>
              <w:rPr>
                <w:rFonts w:ascii="Calibri" w:eastAsia="Calibri" w:hAnsi="Calibri" w:cs="Calibri"/>
                <w:color w:val="1A1A1A"/>
                <w:sz w:val="16"/>
                <w:szCs w:val="16"/>
              </w:rPr>
              <w:t>Website visits quadrupled following a multilingual ad campaign</w:t>
            </w:r>
          </w:p>
        </w:tc>
      </w:tr>
      <w:tr w:rsidR="008B6C73" w14:paraId="432CF98F" w14:textId="77777777">
        <w:tc>
          <w:tcPr>
            <w:tcW w:w="2300" w:type="dxa"/>
            <w:tcBorders>
              <w:top w:val="single" w:sz="4" w:space="0" w:color="C0D6EA"/>
              <w:left w:val="single" w:sz="4" w:space="0" w:color="C0D6EA"/>
              <w:bottom w:val="single" w:sz="4" w:space="0" w:color="C0D6EA"/>
              <w:right w:val="single" w:sz="4" w:space="0" w:color="C0D6EA"/>
            </w:tcBorders>
            <w:shd w:val="clear" w:color="auto" w:fill="C9DCEF"/>
            <w:tcMar>
              <w:top w:w="55" w:type="dxa"/>
              <w:left w:w="100" w:type="dxa"/>
              <w:bottom w:w="55" w:type="dxa"/>
              <w:right w:w="100" w:type="dxa"/>
            </w:tcMar>
          </w:tcPr>
          <w:p w14:paraId="58ED08FB" w14:textId="77777777" w:rsidR="008B6C73" w:rsidRDefault="00000000">
            <w:r>
              <w:rPr>
                <w:rFonts w:ascii="Calibri" w:eastAsia="Calibri" w:hAnsi="Calibri" w:cs="Calibri"/>
                <w:b/>
                <w:bCs/>
                <w:color w:val="1B3A5C"/>
                <w:sz w:val="16"/>
                <w:szCs w:val="16"/>
              </w:rPr>
              <w:t>Accessibility</w:t>
            </w:r>
          </w:p>
        </w:tc>
        <w:tc>
          <w:tcPr>
            <w:tcW w:w="706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00" w:type="dxa"/>
            </w:tcMar>
          </w:tcPr>
          <w:p w14:paraId="187E5FC6" w14:textId="77777777" w:rsidR="008B6C73" w:rsidRDefault="00000000">
            <w:r>
              <w:rPr>
                <w:rFonts w:ascii="Calibri" w:eastAsia="Calibri" w:hAnsi="Calibri" w:cs="Calibri"/>
                <w:color w:val="1A1A1A"/>
                <w:sz w:val="16"/>
                <w:szCs w:val="16"/>
              </w:rPr>
              <w:t>Built to US Web Design Standards; exceeds federal WCAG 2.1 AA accessibility requirements</w:t>
            </w:r>
          </w:p>
        </w:tc>
      </w:tr>
      <w:tr w:rsidR="008B6C73" w14:paraId="2DC3B64A" w14:textId="77777777">
        <w:tc>
          <w:tcPr>
            <w:tcW w:w="2300" w:type="dxa"/>
            <w:tcBorders>
              <w:top w:val="single" w:sz="4" w:space="0" w:color="C0D6EA"/>
              <w:left w:val="single" w:sz="4" w:space="0" w:color="C0D6EA"/>
              <w:bottom w:val="single" w:sz="4" w:space="0" w:color="C0D6EA"/>
              <w:right w:val="single" w:sz="4" w:space="0" w:color="C0D6EA"/>
            </w:tcBorders>
            <w:shd w:val="clear" w:color="auto" w:fill="DDEAF7"/>
            <w:tcMar>
              <w:top w:w="55" w:type="dxa"/>
              <w:left w:w="100" w:type="dxa"/>
              <w:bottom w:w="55" w:type="dxa"/>
              <w:right w:w="100" w:type="dxa"/>
            </w:tcMar>
          </w:tcPr>
          <w:p w14:paraId="2F6EB97E" w14:textId="77777777" w:rsidR="008B6C73" w:rsidRDefault="00000000">
            <w:r>
              <w:rPr>
                <w:rFonts w:ascii="Calibri" w:eastAsia="Calibri" w:hAnsi="Calibri" w:cs="Calibri"/>
                <w:b/>
                <w:bCs/>
                <w:color w:val="1B3A5C"/>
                <w:sz w:val="16"/>
                <w:szCs w:val="16"/>
              </w:rPr>
              <w:t>Replicability</w:t>
            </w:r>
          </w:p>
        </w:tc>
        <w:tc>
          <w:tcPr>
            <w:tcW w:w="706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00" w:type="dxa"/>
            </w:tcMar>
          </w:tcPr>
          <w:p w14:paraId="45CEE8BF" w14:textId="77777777" w:rsidR="008B6C73" w:rsidRDefault="00000000">
            <w:r>
              <w:rPr>
                <w:rFonts w:ascii="Calibri" w:eastAsia="Calibri" w:hAnsi="Calibri" w:cs="Calibri"/>
                <w:color w:val="1A1A1A"/>
                <w:sz w:val="16"/>
                <w:szCs w:val="16"/>
              </w:rPr>
              <w:t>Adopted by multiple jurisdictions including Bloomington and South Bend; open-source codebase available</w:t>
            </w:r>
          </w:p>
        </w:tc>
      </w:tr>
      <w:tr w:rsidR="008B6C73" w14:paraId="433D9421" w14:textId="77777777">
        <w:tc>
          <w:tcPr>
            <w:tcW w:w="2300" w:type="dxa"/>
            <w:tcBorders>
              <w:top w:val="single" w:sz="4" w:space="0" w:color="C0D6EA"/>
              <w:left w:val="single" w:sz="4" w:space="0" w:color="C0D6EA"/>
              <w:bottom w:val="single" w:sz="4" w:space="0" w:color="C0D6EA"/>
              <w:right w:val="single" w:sz="4" w:space="0" w:color="C0D6EA"/>
            </w:tcBorders>
            <w:shd w:val="clear" w:color="auto" w:fill="C9DCEF"/>
            <w:tcMar>
              <w:top w:w="55" w:type="dxa"/>
              <w:left w:w="100" w:type="dxa"/>
              <w:bottom w:w="55" w:type="dxa"/>
              <w:right w:w="100" w:type="dxa"/>
            </w:tcMar>
          </w:tcPr>
          <w:p w14:paraId="4834F2A0" w14:textId="77777777" w:rsidR="008B6C73" w:rsidRDefault="00000000">
            <w:r>
              <w:rPr>
                <w:rFonts w:ascii="Calibri" w:eastAsia="Calibri" w:hAnsi="Calibri" w:cs="Calibri"/>
                <w:b/>
                <w:bCs/>
                <w:color w:val="1B3A5C"/>
                <w:sz w:val="16"/>
                <w:szCs w:val="16"/>
              </w:rPr>
              <w:t>Programs Covered</w:t>
            </w:r>
          </w:p>
        </w:tc>
        <w:tc>
          <w:tcPr>
            <w:tcW w:w="706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00" w:type="dxa"/>
            </w:tcMar>
          </w:tcPr>
          <w:p w14:paraId="324CB161" w14:textId="77777777" w:rsidR="008B6C73" w:rsidRDefault="00000000">
            <w:r>
              <w:rPr>
                <w:rFonts w:ascii="Calibri" w:eastAsia="Calibri" w:hAnsi="Calibri" w:cs="Calibri"/>
                <w:color w:val="1A1A1A"/>
                <w:sz w:val="16"/>
                <w:szCs w:val="16"/>
              </w:rPr>
              <w:t>Utility-discount programs, childcare subsidies, food assistance — consolidated into a single experience</w:t>
            </w:r>
          </w:p>
        </w:tc>
      </w:tr>
      <w:tr w:rsidR="008B6C73" w14:paraId="1A3C705D" w14:textId="77777777">
        <w:tc>
          <w:tcPr>
            <w:tcW w:w="2300" w:type="dxa"/>
            <w:tcBorders>
              <w:top w:val="single" w:sz="4" w:space="0" w:color="C0D6EA"/>
              <w:left w:val="single" w:sz="4" w:space="0" w:color="C0D6EA"/>
              <w:bottom w:val="single" w:sz="4" w:space="0" w:color="C0D6EA"/>
              <w:right w:val="single" w:sz="4" w:space="0" w:color="C0D6EA"/>
            </w:tcBorders>
            <w:shd w:val="clear" w:color="auto" w:fill="DDEAF7"/>
            <w:tcMar>
              <w:top w:w="55" w:type="dxa"/>
              <w:left w:w="100" w:type="dxa"/>
              <w:bottom w:w="55" w:type="dxa"/>
              <w:right w:w="100" w:type="dxa"/>
            </w:tcMar>
          </w:tcPr>
          <w:p w14:paraId="2C68912D" w14:textId="77777777" w:rsidR="008B6C73" w:rsidRDefault="00000000">
            <w:r>
              <w:rPr>
                <w:rFonts w:ascii="Calibri" w:eastAsia="Calibri" w:hAnsi="Calibri" w:cs="Calibri"/>
                <w:b/>
                <w:bCs/>
                <w:color w:val="1B3A5C"/>
                <w:sz w:val="16"/>
                <w:szCs w:val="16"/>
              </w:rPr>
              <w:t>Funding</w:t>
            </w:r>
          </w:p>
        </w:tc>
        <w:tc>
          <w:tcPr>
            <w:tcW w:w="706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00" w:type="dxa"/>
            </w:tcMar>
          </w:tcPr>
          <w:p w14:paraId="4296475C" w14:textId="77777777" w:rsidR="008B6C73" w:rsidRDefault="00000000">
            <w:r>
              <w:rPr>
                <w:rFonts w:ascii="Calibri" w:eastAsia="Calibri" w:hAnsi="Calibri" w:cs="Calibri"/>
                <w:color w:val="1A1A1A"/>
                <w:sz w:val="16"/>
                <w:szCs w:val="16"/>
              </w:rPr>
              <w:t>City innovation budgets, philanthropic technical assistance from Google.org, and agency operating funds</w:t>
            </w:r>
          </w:p>
        </w:tc>
      </w:tr>
      <w:tr w:rsidR="008B6C73" w14:paraId="71118095" w14:textId="77777777">
        <w:tc>
          <w:tcPr>
            <w:tcW w:w="2300" w:type="dxa"/>
            <w:tcBorders>
              <w:top w:val="single" w:sz="4" w:space="0" w:color="C0D6EA"/>
              <w:left w:val="single" w:sz="4" w:space="0" w:color="C0D6EA"/>
              <w:bottom w:val="single" w:sz="4" w:space="0" w:color="C0D6EA"/>
              <w:right w:val="single" w:sz="4" w:space="0" w:color="C0D6EA"/>
            </w:tcBorders>
            <w:shd w:val="clear" w:color="auto" w:fill="C9DCEF"/>
            <w:tcMar>
              <w:top w:w="55" w:type="dxa"/>
              <w:left w:w="100" w:type="dxa"/>
              <w:bottom w:w="55" w:type="dxa"/>
              <w:right w:w="100" w:type="dxa"/>
            </w:tcMar>
          </w:tcPr>
          <w:p w14:paraId="1BAF4E65" w14:textId="77777777" w:rsidR="008B6C73" w:rsidRDefault="00000000">
            <w:r>
              <w:rPr>
                <w:rFonts w:ascii="Calibri" w:eastAsia="Calibri" w:hAnsi="Calibri" w:cs="Calibri"/>
                <w:b/>
                <w:bCs/>
                <w:color w:val="1B3A5C"/>
                <w:sz w:val="16"/>
                <w:szCs w:val="16"/>
              </w:rPr>
              <w:t>Key Partners</w:t>
            </w:r>
          </w:p>
        </w:tc>
        <w:tc>
          <w:tcPr>
            <w:tcW w:w="706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00" w:type="dxa"/>
            </w:tcMar>
          </w:tcPr>
          <w:p w14:paraId="2F5F2B6B" w14:textId="77777777" w:rsidR="008B6C73" w:rsidRDefault="00000000">
            <w:r>
              <w:rPr>
                <w:rFonts w:ascii="Calibri" w:eastAsia="Calibri" w:hAnsi="Calibri" w:cs="Calibri"/>
                <w:color w:val="1A1A1A"/>
                <w:sz w:val="16"/>
                <w:szCs w:val="16"/>
              </w:rPr>
              <w:t xml:space="preserve">Seattle Innovation &amp; Performance Team, Google.org Fellows, </w:t>
            </w:r>
            <w:proofErr w:type="spellStart"/>
            <w:r>
              <w:rPr>
                <w:rFonts w:ascii="Calibri" w:eastAsia="Calibri" w:hAnsi="Calibri" w:cs="Calibri"/>
                <w:color w:val="1A1A1A"/>
                <w:sz w:val="16"/>
                <w:szCs w:val="16"/>
              </w:rPr>
              <w:t>Exygy</w:t>
            </w:r>
            <w:proofErr w:type="spellEnd"/>
            <w:r>
              <w:rPr>
                <w:rFonts w:ascii="Calibri" w:eastAsia="Calibri" w:hAnsi="Calibri" w:cs="Calibri"/>
                <w:color w:val="1A1A1A"/>
                <w:sz w:val="16"/>
                <w:szCs w:val="16"/>
              </w:rPr>
              <w:t>, and participating city agencies</w:t>
            </w:r>
          </w:p>
        </w:tc>
      </w:tr>
    </w:tbl>
    <w:p w14:paraId="477ED6BB"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276939A4" w14:textId="77777777">
        <w:tc>
          <w:tcPr>
            <w:tcW w:w="180" w:type="dxa"/>
            <w:tcBorders>
              <w:top w:val="none" w:sz="0" w:space="0" w:color="FFFFFF"/>
              <w:left w:val="none" w:sz="0" w:space="0" w:color="FFFFFF"/>
              <w:bottom w:val="none" w:sz="0" w:space="0" w:color="FFFFFF"/>
              <w:right w:val="none" w:sz="0" w:space="0" w:color="FFFFFF"/>
            </w:tcBorders>
            <w:shd w:val="clear" w:color="auto" w:fill="2C5F8A"/>
            <w:tcMar>
              <w:top w:w="0" w:type="dxa"/>
              <w:left w:w="0" w:type="dxa"/>
              <w:bottom w:w="0" w:type="dxa"/>
              <w:right w:w="0" w:type="dxa"/>
            </w:tcMar>
          </w:tcPr>
          <w:p w14:paraId="68008E7C"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786720FB" w14:textId="77777777" w:rsidR="008B6C73" w:rsidRDefault="00000000">
            <w:r>
              <w:rPr>
                <w:rFonts w:ascii="Calibri" w:eastAsia="Calibri" w:hAnsi="Calibri" w:cs="Calibri"/>
                <w:b/>
                <w:bCs/>
                <w:color w:val="2C5F8A"/>
                <w:sz w:val="16"/>
                <w:szCs w:val="16"/>
              </w:rPr>
              <w:t>HOW IT WORKS</w:t>
            </w:r>
          </w:p>
        </w:tc>
      </w:tr>
    </w:tbl>
    <w:p w14:paraId="0AD5172E"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8B6C73" w14:paraId="0DC2321A" w14:textId="77777777">
        <w:tc>
          <w:tcPr>
            <w:tcW w:w="4680" w:type="dxa"/>
            <w:tcBorders>
              <w:top w:val="single" w:sz="4" w:space="0" w:color="C0D6EA"/>
              <w:left w:val="single" w:sz="4" w:space="0" w:color="C0D6EA"/>
              <w:bottom w:val="single" w:sz="4" w:space="0" w:color="C0D6EA"/>
              <w:right w:val="single" w:sz="4" w:space="0" w:color="C0D6EA"/>
            </w:tcBorders>
            <w:shd w:val="clear" w:color="auto" w:fill="EDF4FC"/>
            <w:tcMar>
              <w:top w:w="60" w:type="dxa"/>
              <w:left w:w="110" w:type="dxa"/>
              <w:bottom w:w="65" w:type="dxa"/>
              <w:right w:w="110" w:type="dxa"/>
            </w:tcMar>
          </w:tcPr>
          <w:p w14:paraId="2BE707F2" w14:textId="77777777" w:rsidR="008B6C73" w:rsidRDefault="00000000">
            <w:pPr>
              <w:spacing w:after="30"/>
            </w:pPr>
            <w:r>
              <w:rPr>
                <w:rFonts w:ascii="Calibri" w:eastAsia="Calibri" w:hAnsi="Calibri" w:cs="Calibri"/>
                <w:b/>
                <w:bCs/>
                <w:color w:val="2C5F8A"/>
                <w:sz w:val="16"/>
                <w:szCs w:val="16"/>
              </w:rPr>
              <w:t>① Unified Application Platform</w:t>
            </w:r>
          </w:p>
          <w:p w14:paraId="59288649" w14:textId="77777777" w:rsidR="008B6C73" w:rsidRDefault="00000000">
            <w:r>
              <w:rPr>
                <w:rFonts w:ascii="Calibri" w:eastAsia="Calibri" w:hAnsi="Calibri" w:cs="Calibri"/>
                <w:color w:val="1A1A1A"/>
                <w:sz w:val="16"/>
                <w:szCs w:val="16"/>
              </w:rPr>
              <w:t>CiviForm consolidates 20+ programs across 10 agencies into a single mobile-friendly form. Residents answer shared eligibility questions once, with information pre-filled across applications.</w:t>
            </w:r>
          </w:p>
        </w:tc>
        <w:tc>
          <w:tcPr>
            <w:tcW w:w="4680" w:type="dxa"/>
            <w:tcBorders>
              <w:top w:val="single" w:sz="4" w:space="0" w:color="C0D6EA"/>
              <w:left w:val="single" w:sz="4" w:space="0" w:color="C0D6EA"/>
              <w:bottom w:val="single" w:sz="4" w:space="0" w:color="C0D6EA"/>
              <w:right w:val="single" w:sz="4" w:space="0" w:color="C0D6EA"/>
            </w:tcBorders>
            <w:shd w:val="clear" w:color="auto" w:fill="F5F8FC"/>
            <w:tcMar>
              <w:top w:w="60" w:type="dxa"/>
              <w:left w:w="110" w:type="dxa"/>
              <w:bottom w:w="65" w:type="dxa"/>
              <w:right w:w="110" w:type="dxa"/>
            </w:tcMar>
          </w:tcPr>
          <w:p w14:paraId="02B48147" w14:textId="77777777" w:rsidR="008B6C73" w:rsidRDefault="00000000">
            <w:pPr>
              <w:spacing w:after="30"/>
            </w:pPr>
            <w:r>
              <w:rPr>
                <w:rFonts w:ascii="Calibri" w:eastAsia="Calibri" w:hAnsi="Calibri" w:cs="Calibri"/>
                <w:b/>
                <w:bCs/>
                <w:color w:val="2C5F8A"/>
                <w:sz w:val="16"/>
                <w:szCs w:val="16"/>
              </w:rPr>
              <w:t>② Progressive Disclosure &amp; Accessibility</w:t>
            </w:r>
          </w:p>
          <w:p w14:paraId="61D043B4" w14:textId="77777777" w:rsidR="008B6C73" w:rsidRDefault="00000000">
            <w:r>
              <w:rPr>
                <w:rFonts w:ascii="Calibri" w:eastAsia="Calibri" w:hAnsi="Calibri" w:cs="Calibri"/>
                <w:color w:val="1A1A1A"/>
                <w:sz w:val="16"/>
                <w:szCs w:val="16"/>
              </w:rPr>
              <w:t>The platform shows only relevant questions based on prior answers, reducing cognitive burden. Built to US Web Design Standards and exceeding WCAG 2.1 AA requirements.</w:t>
            </w:r>
          </w:p>
        </w:tc>
      </w:tr>
      <w:tr w:rsidR="008B6C73" w14:paraId="735482F9" w14:textId="77777777">
        <w:tc>
          <w:tcPr>
            <w:tcW w:w="4680" w:type="dxa"/>
            <w:tcBorders>
              <w:top w:val="single" w:sz="4" w:space="0" w:color="C0D6EA"/>
              <w:left w:val="single" w:sz="4" w:space="0" w:color="C0D6EA"/>
              <w:bottom w:val="single" w:sz="4" w:space="0" w:color="C0D6EA"/>
              <w:right w:val="single" w:sz="4" w:space="0" w:color="C0D6EA"/>
            </w:tcBorders>
            <w:shd w:val="clear" w:color="auto" w:fill="F5F8FC"/>
            <w:tcMar>
              <w:top w:w="60" w:type="dxa"/>
              <w:left w:w="110" w:type="dxa"/>
              <w:bottom w:w="65" w:type="dxa"/>
              <w:right w:w="110" w:type="dxa"/>
            </w:tcMar>
          </w:tcPr>
          <w:p w14:paraId="6E08D487" w14:textId="77777777" w:rsidR="008B6C73" w:rsidRDefault="00000000">
            <w:pPr>
              <w:spacing w:after="30"/>
            </w:pPr>
            <w:r>
              <w:rPr>
                <w:rFonts w:ascii="Calibri" w:eastAsia="Calibri" w:hAnsi="Calibri" w:cs="Calibri"/>
                <w:b/>
                <w:bCs/>
                <w:color w:val="2C5F8A"/>
                <w:sz w:val="16"/>
                <w:szCs w:val="16"/>
              </w:rPr>
              <w:t>③ Interagency Data Sharing &amp; Governance</w:t>
            </w:r>
          </w:p>
          <w:p w14:paraId="63CE2B03" w14:textId="77777777" w:rsidR="008B6C73" w:rsidRDefault="00000000">
            <w:r>
              <w:rPr>
                <w:rFonts w:ascii="Calibri" w:eastAsia="Calibri" w:hAnsi="Calibri" w:cs="Calibri"/>
                <w:color w:val="1A1A1A"/>
                <w:sz w:val="16"/>
                <w:szCs w:val="16"/>
              </w:rPr>
              <w:t>City agencies harmonized eligibility rules and agreed to shared data flows through internal MOUs, enabling a single application to serve multiple programs without state legislation.</w:t>
            </w:r>
          </w:p>
        </w:tc>
        <w:tc>
          <w:tcPr>
            <w:tcW w:w="4680" w:type="dxa"/>
            <w:tcBorders>
              <w:top w:val="single" w:sz="4" w:space="0" w:color="C0D6EA"/>
              <w:left w:val="single" w:sz="4" w:space="0" w:color="C0D6EA"/>
              <w:bottom w:val="single" w:sz="4" w:space="0" w:color="C0D6EA"/>
              <w:right w:val="single" w:sz="4" w:space="0" w:color="C0D6EA"/>
            </w:tcBorders>
            <w:shd w:val="clear" w:color="auto" w:fill="EDF4FC"/>
            <w:tcMar>
              <w:top w:w="60" w:type="dxa"/>
              <w:left w:w="110" w:type="dxa"/>
              <w:bottom w:w="65" w:type="dxa"/>
              <w:right w:w="110" w:type="dxa"/>
            </w:tcMar>
          </w:tcPr>
          <w:p w14:paraId="7755088C" w14:textId="77777777" w:rsidR="008B6C73" w:rsidRDefault="00000000">
            <w:pPr>
              <w:spacing w:after="30"/>
            </w:pPr>
            <w:r>
              <w:rPr>
                <w:rFonts w:ascii="Calibri" w:eastAsia="Calibri" w:hAnsi="Calibri" w:cs="Calibri"/>
                <w:b/>
                <w:bCs/>
                <w:color w:val="2C5F8A"/>
                <w:sz w:val="16"/>
                <w:szCs w:val="16"/>
              </w:rPr>
              <w:t>④ Multilingual Outreach &amp; Replication</w:t>
            </w:r>
          </w:p>
          <w:p w14:paraId="1435E9BC" w14:textId="77777777" w:rsidR="008B6C73" w:rsidRDefault="00000000">
            <w:r>
              <w:rPr>
                <w:rFonts w:ascii="Calibri" w:eastAsia="Calibri" w:hAnsi="Calibri" w:cs="Calibri"/>
                <w:color w:val="1A1A1A"/>
                <w:sz w:val="16"/>
                <w:szCs w:val="16"/>
              </w:rPr>
              <w:t>A multilingual ad campaign quadrupled website visits. CiviForm's open-source codebase has enabled replication in Bloomington, South Bend, and other jurisdictions.</w:t>
            </w:r>
          </w:p>
        </w:tc>
      </w:tr>
    </w:tbl>
    <w:p w14:paraId="0C3174B5"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12F90146" w14:textId="77777777">
        <w:tc>
          <w:tcPr>
            <w:tcW w:w="180" w:type="dxa"/>
            <w:tcBorders>
              <w:top w:val="none" w:sz="0" w:space="0" w:color="FFFFFF"/>
              <w:left w:val="none" w:sz="0" w:space="0" w:color="FFFFFF"/>
              <w:bottom w:val="none" w:sz="0" w:space="0" w:color="FFFFFF"/>
              <w:right w:val="none" w:sz="0" w:space="0" w:color="FFFFFF"/>
            </w:tcBorders>
            <w:shd w:val="clear" w:color="auto" w:fill="2C5F8A"/>
            <w:tcMar>
              <w:top w:w="0" w:type="dxa"/>
              <w:left w:w="0" w:type="dxa"/>
              <w:bottom w:w="0" w:type="dxa"/>
              <w:right w:w="0" w:type="dxa"/>
            </w:tcMar>
          </w:tcPr>
          <w:p w14:paraId="60570D1B"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069EBE59" w14:textId="77777777" w:rsidR="008B6C73" w:rsidRDefault="00000000">
            <w:r>
              <w:rPr>
                <w:rFonts w:ascii="Calibri" w:eastAsia="Calibri" w:hAnsi="Calibri" w:cs="Calibri"/>
                <w:b/>
                <w:bCs/>
                <w:color w:val="2C5F8A"/>
                <w:sz w:val="16"/>
                <w:szCs w:val="16"/>
              </w:rPr>
              <w:t>ENABLING CONDITIONS &amp; REPLICATION</w:t>
            </w:r>
          </w:p>
        </w:tc>
      </w:tr>
    </w:tbl>
    <w:p w14:paraId="75B2A2F5"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8B6C73" w14:paraId="168629FB" w14:textId="77777777">
        <w:tc>
          <w:tcPr>
            <w:tcW w:w="4680" w:type="dxa"/>
            <w:tcBorders>
              <w:top w:val="single" w:sz="4" w:space="0" w:color="C0D6EA"/>
              <w:left w:val="single" w:sz="4" w:space="0" w:color="C0D6EA"/>
              <w:bottom w:val="single" w:sz="4" w:space="0" w:color="C0D6EA"/>
              <w:right w:val="single" w:sz="4" w:space="0" w:color="C0D6EA"/>
            </w:tcBorders>
            <w:shd w:val="clear" w:color="auto" w:fill="2C5F8A"/>
            <w:tcMar>
              <w:top w:w="60" w:type="dxa"/>
              <w:left w:w="110" w:type="dxa"/>
              <w:bottom w:w="60" w:type="dxa"/>
              <w:right w:w="110" w:type="dxa"/>
            </w:tcMar>
          </w:tcPr>
          <w:p w14:paraId="61228A9C" w14:textId="77777777" w:rsidR="008B6C73" w:rsidRDefault="00000000">
            <w:r>
              <w:rPr>
                <w:rFonts w:ascii="Calibri" w:eastAsia="Calibri" w:hAnsi="Calibri" w:cs="Calibri"/>
                <w:b/>
                <w:bCs/>
                <w:color w:val="FFFFFF"/>
                <w:sz w:val="16"/>
                <w:szCs w:val="16"/>
              </w:rPr>
              <w:t>What Made It Possible</w:t>
            </w:r>
          </w:p>
        </w:tc>
        <w:tc>
          <w:tcPr>
            <w:tcW w:w="4680" w:type="dxa"/>
            <w:tcBorders>
              <w:top w:val="single" w:sz="4" w:space="0" w:color="C0D6EA"/>
              <w:left w:val="single" w:sz="4" w:space="0" w:color="C0D6EA"/>
              <w:bottom w:val="single" w:sz="4" w:space="0" w:color="C0D6EA"/>
              <w:right w:val="single" w:sz="4" w:space="0" w:color="C0D6EA"/>
            </w:tcBorders>
            <w:shd w:val="clear" w:color="auto" w:fill="2C5F8A"/>
            <w:tcMar>
              <w:top w:w="60" w:type="dxa"/>
              <w:left w:w="110" w:type="dxa"/>
              <w:bottom w:w="60" w:type="dxa"/>
              <w:right w:w="110" w:type="dxa"/>
            </w:tcMar>
          </w:tcPr>
          <w:p w14:paraId="052C7B63" w14:textId="77777777" w:rsidR="008B6C73" w:rsidRDefault="00000000">
            <w:r>
              <w:rPr>
                <w:rFonts w:ascii="Calibri" w:eastAsia="Calibri" w:hAnsi="Calibri" w:cs="Calibri"/>
                <w:b/>
                <w:bCs/>
                <w:color w:val="FFFFFF"/>
                <w:sz w:val="16"/>
                <w:szCs w:val="16"/>
              </w:rPr>
              <w:t>Who Can Replicate This</w:t>
            </w:r>
          </w:p>
        </w:tc>
      </w:tr>
      <w:tr w:rsidR="008B6C73" w14:paraId="777F26AC" w14:textId="77777777">
        <w:tc>
          <w:tcPr>
            <w:tcW w:w="468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340551AF" w14:textId="77777777" w:rsidR="008B6C73" w:rsidRDefault="00000000">
            <w:r>
              <w:rPr>
                <w:rFonts w:ascii="Calibri" w:eastAsia="Calibri" w:hAnsi="Calibri" w:cs="Calibri"/>
                <w:color w:val="1A1A1A"/>
                <w:sz w:val="16"/>
                <w:szCs w:val="16"/>
              </w:rPr>
              <w:t>Mayoral directives on digital modernization provided political mandate and cross-agency authority</w:t>
            </w:r>
          </w:p>
        </w:tc>
        <w:tc>
          <w:tcPr>
            <w:tcW w:w="468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4B1B75B3" w14:textId="77777777" w:rsidR="008B6C73" w:rsidRDefault="00000000">
            <w:r>
              <w:rPr>
                <w:rFonts w:ascii="Calibri" w:eastAsia="Calibri" w:hAnsi="Calibri" w:cs="Calibri"/>
                <w:color w:val="1A1A1A"/>
                <w:sz w:val="16"/>
                <w:szCs w:val="16"/>
              </w:rPr>
              <w:t>Cities need executive-level commitment to drive cross-agency data harmonization and overcome siloed administration</w:t>
            </w:r>
          </w:p>
        </w:tc>
      </w:tr>
      <w:tr w:rsidR="008B6C73" w14:paraId="00E03D37" w14:textId="77777777">
        <w:tc>
          <w:tcPr>
            <w:tcW w:w="468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63FB7BBC" w14:textId="77777777" w:rsidR="008B6C73" w:rsidRDefault="00000000">
            <w:r>
              <w:rPr>
                <w:rFonts w:ascii="Calibri" w:eastAsia="Calibri" w:hAnsi="Calibri" w:cs="Calibri"/>
                <w:color w:val="1A1A1A"/>
                <w:sz w:val="16"/>
                <w:szCs w:val="16"/>
              </w:rPr>
              <w:t>Seattle's Innovation &amp; Performance Team provided in-house product ownership beyond the initial philanthropic grant</w:t>
            </w:r>
          </w:p>
        </w:tc>
        <w:tc>
          <w:tcPr>
            <w:tcW w:w="468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41C6C0D3" w14:textId="77777777" w:rsidR="008B6C73" w:rsidRDefault="00000000">
            <w:r>
              <w:rPr>
                <w:rFonts w:ascii="Calibri" w:eastAsia="Calibri" w:hAnsi="Calibri" w:cs="Calibri"/>
                <w:color w:val="1A1A1A"/>
                <w:sz w:val="16"/>
                <w:szCs w:val="16"/>
              </w:rPr>
              <w:t>Cities should designate an in-house team with ongoing product ownership to prevent one-time builds going unmaintained</w:t>
            </w:r>
          </w:p>
        </w:tc>
      </w:tr>
      <w:tr w:rsidR="008B6C73" w14:paraId="4E528E4D" w14:textId="77777777">
        <w:tc>
          <w:tcPr>
            <w:tcW w:w="468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3599234C" w14:textId="77777777" w:rsidR="008B6C73" w:rsidRDefault="00000000">
            <w:r>
              <w:rPr>
                <w:rFonts w:ascii="Calibri" w:eastAsia="Calibri" w:hAnsi="Calibri" w:cs="Calibri"/>
                <w:color w:val="1A1A1A"/>
                <w:sz w:val="16"/>
                <w:szCs w:val="16"/>
              </w:rPr>
              <w:t>Google.org's 20 full-time engineering fellows provided high-capacity technical assistance at no cost</w:t>
            </w:r>
          </w:p>
        </w:tc>
        <w:tc>
          <w:tcPr>
            <w:tcW w:w="468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4EEBFCEA" w14:textId="77777777" w:rsidR="008B6C73" w:rsidRDefault="00000000">
            <w:r>
              <w:rPr>
                <w:rFonts w:ascii="Calibri" w:eastAsia="Calibri" w:hAnsi="Calibri" w:cs="Calibri"/>
                <w:color w:val="1A1A1A"/>
                <w:sz w:val="16"/>
                <w:szCs w:val="16"/>
              </w:rPr>
              <w:t>Cities without in-house capacity should pursue philanthropic or civic tech partnerships to access engineering talent</w:t>
            </w:r>
          </w:p>
        </w:tc>
      </w:tr>
      <w:tr w:rsidR="008B6C73" w14:paraId="73CC254D" w14:textId="77777777">
        <w:tc>
          <w:tcPr>
            <w:tcW w:w="468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5029EC06" w14:textId="77777777" w:rsidR="008B6C73" w:rsidRDefault="00000000">
            <w:r>
              <w:rPr>
                <w:rFonts w:ascii="Calibri" w:eastAsia="Calibri" w:hAnsi="Calibri" w:cs="Calibri"/>
                <w:color w:val="1A1A1A"/>
                <w:sz w:val="16"/>
                <w:szCs w:val="16"/>
              </w:rPr>
              <w:t>Exygy's human-centered design and usability testing ensured the platform served diverse residents</w:t>
            </w:r>
          </w:p>
        </w:tc>
        <w:tc>
          <w:tcPr>
            <w:tcW w:w="468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73508A07" w14:textId="77777777" w:rsidR="008B6C73" w:rsidRDefault="00000000">
            <w:r>
              <w:rPr>
                <w:rFonts w:ascii="Calibri" w:eastAsia="Calibri" w:hAnsi="Calibri" w:cs="Calibri"/>
                <w:color w:val="1A1A1A"/>
                <w:sz w:val="16"/>
                <w:szCs w:val="16"/>
              </w:rPr>
              <w:t>Cities should invest in user research and usability testing with the intended population — not just technical build</w:t>
            </w:r>
          </w:p>
        </w:tc>
      </w:tr>
      <w:tr w:rsidR="008B6C73" w14:paraId="67D62D9E" w14:textId="77777777">
        <w:tc>
          <w:tcPr>
            <w:tcW w:w="468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79BFF76D" w14:textId="77777777" w:rsidR="008B6C73" w:rsidRDefault="00000000">
            <w:r>
              <w:rPr>
                <w:rFonts w:ascii="Calibri" w:eastAsia="Calibri" w:hAnsi="Calibri" w:cs="Calibri"/>
                <w:color w:val="1A1A1A"/>
                <w:sz w:val="16"/>
                <w:szCs w:val="16"/>
              </w:rPr>
              <w:t>Interagency MOUs enabled shared eligibility logic and data flows without state legislation</w:t>
            </w:r>
          </w:p>
        </w:tc>
        <w:tc>
          <w:tcPr>
            <w:tcW w:w="4680" w:type="dxa"/>
            <w:tcBorders>
              <w:top w:val="single" w:sz="4" w:space="0" w:color="C0D6EA"/>
              <w:left w:val="single" w:sz="4" w:space="0" w:color="C0D6EA"/>
              <w:bottom w:val="single" w:sz="4" w:space="0" w:color="C0D6EA"/>
              <w:right w:val="single" w:sz="4" w:space="0" w:color="C0D6EA"/>
            </w:tcBorders>
            <w:shd w:val="clear" w:color="auto" w:fill="FFFFFF"/>
            <w:tcMar>
              <w:top w:w="55" w:type="dxa"/>
              <w:left w:w="110" w:type="dxa"/>
              <w:bottom w:w="55" w:type="dxa"/>
              <w:right w:w="110" w:type="dxa"/>
            </w:tcMar>
          </w:tcPr>
          <w:p w14:paraId="5484058F" w14:textId="77777777" w:rsidR="008B6C73" w:rsidRDefault="00000000">
            <w:r>
              <w:rPr>
                <w:rFonts w:ascii="Calibri" w:eastAsia="Calibri" w:hAnsi="Calibri" w:cs="Calibri"/>
                <w:color w:val="1A1A1A"/>
                <w:sz w:val="16"/>
                <w:szCs w:val="16"/>
              </w:rPr>
              <w:t>Cities can enable cross-program consolidation through internal data-sharing agreements without state action</w:t>
            </w:r>
          </w:p>
        </w:tc>
      </w:tr>
      <w:tr w:rsidR="008B6C73" w14:paraId="1C169FEB" w14:textId="77777777">
        <w:tc>
          <w:tcPr>
            <w:tcW w:w="468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1EA0EB1B" w14:textId="77777777" w:rsidR="008B6C73" w:rsidRDefault="00000000">
            <w:r>
              <w:rPr>
                <w:rFonts w:ascii="Calibri" w:eastAsia="Calibri" w:hAnsi="Calibri" w:cs="Calibri"/>
                <w:color w:val="1A1A1A"/>
                <w:sz w:val="16"/>
                <w:szCs w:val="16"/>
              </w:rPr>
              <w:t>Open-source codebase enables replication across jurisdictions, reducing build costs</w:t>
            </w:r>
          </w:p>
        </w:tc>
        <w:tc>
          <w:tcPr>
            <w:tcW w:w="4680" w:type="dxa"/>
            <w:tcBorders>
              <w:top w:val="single" w:sz="4" w:space="0" w:color="C0D6EA"/>
              <w:left w:val="single" w:sz="4" w:space="0" w:color="C0D6EA"/>
              <w:bottom w:val="single" w:sz="4" w:space="0" w:color="C0D6EA"/>
              <w:right w:val="single" w:sz="4" w:space="0" w:color="C0D6EA"/>
            </w:tcBorders>
            <w:shd w:val="clear" w:color="auto" w:fill="F5F8FC"/>
            <w:tcMar>
              <w:top w:w="55" w:type="dxa"/>
              <w:left w:w="110" w:type="dxa"/>
              <w:bottom w:w="55" w:type="dxa"/>
              <w:right w:w="110" w:type="dxa"/>
            </w:tcMar>
          </w:tcPr>
          <w:p w14:paraId="1E682315" w14:textId="77777777" w:rsidR="008B6C73" w:rsidRDefault="00000000">
            <w:r>
              <w:rPr>
                <w:rFonts w:ascii="Calibri" w:eastAsia="Calibri" w:hAnsi="Calibri" w:cs="Calibri"/>
                <w:color w:val="1A1A1A"/>
                <w:sz w:val="16"/>
                <w:szCs w:val="16"/>
              </w:rPr>
              <w:t>Cities should evaluate CiviForm's open-source codebase before building custom platforms from scratch</w:t>
            </w:r>
          </w:p>
        </w:tc>
      </w:tr>
    </w:tbl>
    <w:p w14:paraId="0FEE22FA" w14:textId="77777777" w:rsidR="008B6C73" w:rsidRDefault="008B6C73">
      <w:pPr>
        <w:spacing w:after="30"/>
      </w:pPr>
    </w:p>
    <w:sectPr w:rsidR="008B6C73">
      <w:pgSz w:w="12240" w:h="15840"/>
      <w:pgMar w:top="500" w:right="600" w:bottom="500" w:left="6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87D26"/>
    <w:multiLevelType w:val="hybridMultilevel"/>
    <w:tmpl w:val="E0E8E45E"/>
    <w:lvl w:ilvl="0" w:tplc="88128A0C">
      <w:start w:val="1"/>
      <w:numFmt w:val="bullet"/>
      <w:lvlText w:val="●"/>
      <w:lvlJc w:val="left"/>
      <w:pPr>
        <w:ind w:left="720" w:hanging="360"/>
      </w:pPr>
    </w:lvl>
    <w:lvl w:ilvl="1" w:tplc="768A1AAC">
      <w:start w:val="1"/>
      <w:numFmt w:val="bullet"/>
      <w:lvlText w:val="○"/>
      <w:lvlJc w:val="left"/>
      <w:pPr>
        <w:ind w:left="1440" w:hanging="360"/>
      </w:pPr>
    </w:lvl>
    <w:lvl w:ilvl="2" w:tplc="B6D0F082">
      <w:start w:val="1"/>
      <w:numFmt w:val="bullet"/>
      <w:lvlText w:val="■"/>
      <w:lvlJc w:val="left"/>
      <w:pPr>
        <w:ind w:left="2160" w:hanging="360"/>
      </w:pPr>
    </w:lvl>
    <w:lvl w:ilvl="3" w:tplc="5DCE2D70">
      <w:start w:val="1"/>
      <w:numFmt w:val="bullet"/>
      <w:lvlText w:val="●"/>
      <w:lvlJc w:val="left"/>
      <w:pPr>
        <w:ind w:left="2880" w:hanging="360"/>
      </w:pPr>
    </w:lvl>
    <w:lvl w:ilvl="4" w:tplc="8AEE3AE0">
      <w:start w:val="1"/>
      <w:numFmt w:val="bullet"/>
      <w:lvlText w:val="○"/>
      <w:lvlJc w:val="left"/>
      <w:pPr>
        <w:ind w:left="3600" w:hanging="360"/>
      </w:pPr>
    </w:lvl>
    <w:lvl w:ilvl="5" w:tplc="07F21F5A">
      <w:start w:val="1"/>
      <w:numFmt w:val="bullet"/>
      <w:lvlText w:val="■"/>
      <w:lvlJc w:val="left"/>
      <w:pPr>
        <w:ind w:left="4320" w:hanging="360"/>
      </w:pPr>
    </w:lvl>
    <w:lvl w:ilvl="6" w:tplc="033EBC74">
      <w:start w:val="1"/>
      <w:numFmt w:val="bullet"/>
      <w:lvlText w:val="●"/>
      <w:lvlJc w:val="left"/>
      <w:pPr>
        <w:ind w:left="5040" w:hanging="360"/>
      </w:pPr>
    </w:lvl>
    <w:lvl w:ilvl="7" w:tplc="551EE14E">
      <w:start w:val="1"/>
      <w:numFmt w:val="bullet"/>
      <w:lvlText w:val="●"/>
      <w:lvlJc w:val="left"/>
      <w:pPr>
        <w:ind w:left="5760" w:hanging="360"/>
      </w:pPr>
    </w:lvl>
    <w:lvl w:ilvl="8" w:tplc="22A6AA80">
      <w:start w:val="1"/>
      <w:numFmt w:val="bullet"/>
      <w:lvlText w:val="●"/>
      <w:lvlJc w:val="left"/>
      <w:pPr>
        <w:ind w:left="6480" w:hanging="360"/>
      </w:pPr>
    </w:lvl>
  </w:abstractNum>
  <w:num w:numId="1" w16cid:durableId="129768721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8"/>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C73"/>
    <w:rsid w:val="0005253A"/>
    <w:rsid w:val="000B5DC1"/>
    <w:rsid w:val="003B232E"/>
    <w:rsid w:val="003B72B5"/>
    <w:rsid w:val="005A46B9"/>
    <w:rsid w:val="00791327"/>
    <w:rsid w:val="008B6C73"/>
    <w:rsid w:val="00A71799"/>
    <w:rsid w:val="00B36B64"/>
    <w:rsid w:val="00D92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5C03BD"/>
  <w15:docId w15:val="{DF4EEE37-1579-7F42-99F4-150BE56A5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656</Words>
  <Characters>3740</Characters>
  <Application>Microsoft Office Word</Application>
  <DocSecurity>0</DocSecurity>
  <Lines>31</Lines>
  <Paragraphs>8</Paragraphs>
  <ScaleCrop>false</ScaleCrop>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nkd2128</cp:lastModifiedBy>
  <cp:revision>2</cp:revision>
  <dcterms:created xsi:type="dcterms:W3CDTF">2026-07-11T00:52:00Z</dcterms:created>
  <dcterms:modified xsi:type="dcterms:W3CDTF">2026-07-11T00:52:00Z</dcterms:modified>
</cp:coreProperties>
</file>