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DB30B76" w14:textId="12E3DF3C" w:rsidR="008B6C73" w:rsidRDefault="008B6C73"/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8B6C73" w14:paraId="05D6BD43" w14:textId="77777777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B3A5C"/>
            <w:tcMar>
              <w:top w:w="50" w:type="dxa"/>
              <w:left w:w="160" w:type="dxa"/>
              <w:bottom w:w="20" w:type="dxa"/>
              <w:right w:w="160" w:type="dxa"/>
            </w:tcMar>
          </w:tcPr>
          <w:p w14:paraId="08CB99C5" w14:textId="77777777" w:rsidR="008B6C73" w:rsidRDefault="00000000">
            <w:r>
              <w:rPr>
                <w:rFonts w:ascii="Calibri" w:eastAsia="Calibri" w:hAnsi="Calibri" w:cs="Calibri"/>
                <w:b/>
                <w:bCs/>
                <w:color w:val="BBCFCC"/>
                <w:sz w:val="13"/>
                <w:szCs w:val="13"/>
              </w:rPr>
              <w:t xml:space="preserve">PATHWAY </w:t>
            </w:r>
            <w:proofErr w:type="gramStart"/>
            <w:r>
              <w:rPr>
                <w:rFonts w:ascii="Calibri" w:eastAsia="Calibri" w:hAnsi="Calibri" w:cs="Calibri"/>
                <w:b/>
                <w:bCs/>
                <w:color w:val="BBCFCC"/>
                <w:sz w:val="13"/>
                <w:szCs w:val="13"/>
              </w:rPr>
              <w:t>1.5  ·</w:t>
            </w:r>
            <w:proofErr w:type="gramEnd"/>
            <w:r>
              <w:rPr>
                <w:rFonts w:ascii="Calibri" w:eastAsia="Calibri" w:hAnsi="Calibri" w:cs="Calibri"/>
                <w:b/>
                <w:bCs/>
                <w:color w:val="BBCFCC"/>
                <w:sz w:val="13"/>
                <w:szCs w:val="13"/>
              </w:rPr>
              <w:t xml:space="preserve">  UNIVERSAL PATHWAY — COMMUNITY BENEFIT RENEWABLE ENERGY PROCUREMENT</w:t>
            </w:r>
          </w:p>
        </w:tc>
      </w:tr>
      <w:tr w:rsidR="008B6C73" w14:paraId="7532CB00" w14:textId="77777777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B3A5C"/>
            <w:tcMar>
              <w:top w:w="20" w:type="dxa"/>
              <w:left w:w="160" w:type="dxa"/>
              <w:bottom w:w="10" w:type="dxa"/>
              <w:right w:w="160" w:type="dxa"/>
            </w:tcMar>
          </w:tcPr>
          <w:p w14:paraId="1A276AA4" w14:textId="77777777" w:rsidR="008B6C73" w:rsidRDefault="00000000">
            <w:r>
              <w:rPr>
                <w:rFonts w:ascii="Calibri" w:eastAsia="Calibri" w:hAnsi="Calibri" w:cs="Calibri"/>
                <w:b/>
                <w:bCs/>
                <w:color w:val="FFFFFF"/>
                <w:sz w:val="46"/>
                <w:szCs w:val="46"/>
              </w:rPr>
              <w:t>Social RECs — Solar Stewards Marketplace</w:t>
            </w:r>
          </w:p>
        </w:tc>
      </w:tr>
      <w:tr w:rsidR="008B6C73" w14:paraId="53BC8006" w14:textId="77777777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B3A5C"/>
            <w:tcMar>
              <w:top w:w="4" w:type="dxa"/>
              <w:left w:w="160" w:type="dxa"/>
              <w:bottom w:w="4" w:type="dxa"/>
              <w:right w:w="160" w:type="dxa"/>
            </w:tcMar>
          </w:tcPr>
          <w:p w14:paraId="38A2AC65" w14:textId="77777777" w:rsidR="008B6C73" w:rsidRDefault="00000000">
            <w:r>
              <w:rPr>
                <w:rFonts w:ascii="Calibri" w:eastAsia="Calibri" w:hAnsi="Calibri" w:cs="Calibri"/>
                <w:b/>
                <w:bCs/>
                <w:color w:val="D8F0ED"/>
                <w:sz w:val="16"/>
                <w:szCs w:val="16"/>
              </w:rPr>
              <w:t xml:space="preserve">Solar </w:t>
            </w:r>
            <w:proofErr w:type="gramStart"/>
            <w:r>
              <w:rPr>
                <w:rFonts w:ascii="Calibri" w:eastAsia="Calibri" w:hAnsi="Calibri" w:cs="Calibri"/>
                <w:b/>
                <w:bCs/>
                <w:color w:val="D8F0ED"/>
                <w:sz w:val="16"/>
                <w:szCs w:val="16"/>
              </w:rPr>
              <w:t>Stewards  ·</w:t>
            </w:r>
            <w:proofErr w:type="gramEnd"/>
            <w:r>
              <w:rPr>
                <w:rFonts w:ascii="Calibri" w:eastAsia="Calibri" w:hAnsi="Calibri" w:cs="Calibri"/>
                <w:b/>
                <w:bCs/>
                <w:color w:val="D8F0ED"/>
                <w:sz w:val="16"/>
                <w:szCs w:val="16"/>
              </w:rPr>
              <w:t xml:space="preserve">  Atlanta, </w:t>
            </w:r>
            <w:proofErr w:type="gramStart"/>
            <w:r>
              <w:rPr>
                <w:rFonts w:ascii="Calibri" w:eastAsia="Calibri" w:hAnsi="Calibri" w:cs="Calibri"/>
                <w:b/>
                <w:bCs/>
                <w:color w:val="D8F0ED"/>
                <w:sz w:val="16"/>
                <w:szCs w:val="16"/>
              </w:rPr>
              <w:t>GA  ·</w:t>
            </w:r>
            <w:proofErr w:type="gramEnd"/>
            <w:r>
              <w:rPr>
                <w:rFonts w:ascii="Calibri" w:eastAsia="Calibri" w:hAnsi="Calibri" w:cs="Calibri"/>
                <w:b/>
                <w:bCs/>
                <w:color w:val="D8F0ED"/>
                <w:sz w:val="16"/>
                <w:szCs w:val="16"/>
              </w:rPr>
              <w:t xml:space="preserve">  Founded </w:t>
            </w:r>
            <w:proofErr w:type="gramStart"/>
            <w:r>
              <w:rPr>
                <w:rFonts w:ascii="Calibri" w:eastAsia="Calibri" w:hAnsi="Calibri" w:cs="Calibri"/>
                <w:b/>
                <w:bCs/>
                <w:color w:val="D8F0ED"/>
                <w:sz w:val="16"/>
                <w:szCs w:val="16"/>
              </w:rPr>
              <w:t>2016  ·</w:t>
            </w:r>
            <w:proofErr w:type="gramEnd"/>
            <w:r>
              <w:rPr>
                <w:rFonts w:ascii="Calibri" w:eastAsia="Calibri" w:hAnsi="Calibri" w:cs="Calibri"/>
                <w:b/>
                <w:bCs/>
                <w:color w:val="D8F0ED"/>
                <w:sz w:val="16"/>
                <w:szCs w:val="16"/>
              </w:rPr>
              <w:t xml:space="preserve">  Community Benefit Renewable Energy Procurement</w:t>
            </w:r>
          </w:p>
        </w:tc>
      </w:tr>
      <w:tr w:rsidR="008B6C73" w14:paraId="62C4F4B8" w14:textId="77777777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63151"/>
            <w:tcMar>
              <w:top w:w="40" w:type="dxa"/>
              <w:left w:w="160" w:type="dxa"/>
              <w:bottom w:w="40" w:type="dxa"/>
              <w:right w:w="160" w:type="dxa"/>
            </w:tcMar>
          </w:tcPr>
          <w:p w14:paraId="01883E26" w14:textId="77777777" w:rsidR="008B6C73" w:rsidRDefault="00000000">
            <w:r>
              <w:rPr>
                <w:rFonts w:ascii="Calibri" w:eastAsia="Calibri" w:hAnsi="Calibri" w:cs="Calibri"/>
                <w:b/>
                <w:bCs/>
                <w:color w:val="AACFE8"/>
                <w:sz w:val="15"/>
                <w:szCs w:val="15"/>
              </w:rPr>
              <w:t xml:space="preserve">100% REC Revenue to </w:t>
            </w:r>
            <w:proofErr w:type="gramStart"/>
            <w:r>
              <w:rPr>
                <w:rFonts w:ascii="Calibri" w:eastAsia="Calibri" w:hAnsi="Calibri" w:cs="Calibri"/>
                <w:b/>
                <w:bCs/>
                <w:color w:val="AACFE8"/>
                <w:sz w:val="15"/>
                <w:szCs w:val="15"/>
              </w:rPr>
              <w:t>Community  ·</w:t>
            </w:r>
            <w:proofErr w:type="gramEnd"/>
            <w:r>
              <w:rPr>
                <w:rFonts w:ascii="Calibri" w:eastAsia="Calibri" w:hAnsi="Calibri" w:cs="Calibri"/>
                <w:b/>
                <w:bCs/>
                <w:color w:val="AACFE8"/>
                <w:sz w:val="15"/>
                <w:szCs w:val="15"/>
              </w:rPr>
              <w:t xml:space="preserve">  Legally Enforceable Community Benefit </w:t>
            </w:r>
            <w:proofErr w:type="gramStart"/>
            <w:r>
              <w:rPr>
                <w:rFonts w:ascii="Calibri" w:eastAsia="Calibri" w:hAnsi="Calibri" w:cs="Calibri"/>
                <w:b/>
                <w:bCs/>
                <w:color w:val="AACFE8"/>
                <w:sz w:val="15"/>
                <w:szCs w:val="15"/>
              </w:rPr>
              <w:t>Agreements  ·</w:t>
            </w:r>
            <w:proofErr w:type="gramEnd"/>
            <w:r>
              <w:rPr>
                <w:rFonts w:ascii="Calibri" w:eastAsia="Calibri" w:hAnsi="Calibri" w:cs="Calibri"/>
                <w:b/>
                <w:bCs/>
                <w:color w:val="AACFE8"/>
                <w:sz w:val="15"/>
                <w:szCs w:val="15"/>
              </w:rPr>
              <w:t xml:space="preserve">  Foundational Pathway</w:t>
            </w:r>
          </w:p>
        </w:tc>
      </w:tr>
    </w:tbl>
    <w:p w14:paraId="7D859A17" w14:textId="77777777" w:rsidR="008B6C73" w:rsidRDefault="008B6C73">
      <w:pPr>
        <w:pBdr>
          <w:bottom w:val="single" w:sz="6" w:space="1" w:color="C0D6EA"/>
        </w:pBdr>
      </w:pPr>
    </w:p>
    <w:p w14:paraId="097559C6" w14:textId="77777777" w:rsidR="008B6C73" w:rsidRDefault="008B6C73">
      <w:pPr>
        <w:spacing w:after="3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"/>
        <w:gridCol w:w="9180"/>
      </w:tblGrid>
      <w:tr w:rsidR="008B6C73" w14:paraId="653E373C" w14:textId="77777777">
        <w:tc>
          <w:tcPr>
            <w:tcW w:w="1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2C5F8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01A651" w14:textId="77777777" w:rsidR="008B6C73" w:rsidRDefault="008B6C73"/>
        </w:tc>
        <w:tc>
          <w:tcPr>
            <w:tcW w:w="91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28" w:type="dxa"/>
              <w:left w:w="110" w:type="dxa"/>
              <w:bottom w:w="28" w:type="dxa"/>
              <w:right w:w="0" w:type="dxa"/>
            </w:tcMar>
          </w:tcPr>
          <w:p w14:paraId="385663C4" w14:textId="77777777" w:rsidR="008B6C73" w:rsidRDefault="00000000">
            <w:r>
              <w:rPr>
                <w:rFonts w:ascii="Calibri" w:eastAsia="Calibri" w:hAnsi="Calibri" w:cs="Calibri"/>
                <w:b/>
                <w:bCs/>
                <w:color w:val="2C5F8A"/>
                <w:sz w:val="16"/>
                <w:szCs w:val="16"/>
              </w:rPr>
              <w:t>WHAT IS IT?</w:t>
            </w:r>
          </w:p>
        </w:tc>
      </w:tr>
    </w:tbl>
    <w:p w14:paraId="1ED9DB41" w14:textId="77777777" w:rsidR="008B6C73" w:rsidRDefault="008B6C73">
      <w:pPr>
        <w:spacing w:after="25"/>
      </w:pPr>
    </w:p>
    <w:p w14:paraId="26BD1A04" w14:textId="77777777" w:rsidR="008B6C73" w:rsidRDefault="00000000">
      <w:r>
        <w:rPr>
          <w:rFonts w:ascii="Calibri" w:eastAsia="Calibri" w:hAnsi="Calibri" w:cs="Calibri"/>
          <w:color w:val="1A1A1A"/>
          <w:sz w:val="16"/>
          <w:szCs w:val="16"/>
        </w:rPr>
        <w:t>Social RECs are renewable energy certificates from solar projects that directly benefit historically excluded communities. Solar Stewards operates a patented marketplace connecting corporate buyers (Climate Stewards) with solar projects sited in or serving underserved communities. Corporate buyers purchase Social RECs to meet their sustainability goals; 100% of REC revenue is directed to community projects through legally enforceable Community Benefit Agreements. Projects have supported schools, affordable housing, places of worship, and nonprofits in marginalized communities. Unlike government-funded programs, this model runs entirely on voluntary corporate CSR/ESG procurement dollars.</w:t>
      </w:r>
    </w:p>
    <w:p w14:paraId="3F9BD748" w14:textId="77777777" w:rsidR="008B6C73" w:rsidRDefault="008B6C73">
      <w:pPr>
        <w:spacing w:after="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"/>
        <w:gridCol w:w="9180"/>
      </w:tblGrid>
      <w:tr w:rsidR="008B6C73" w14:paraId="776DB825" w14:textId="77777777">
        <w:tc>
          <w:tcPr>
            <w:tcW w:w="1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2C5F8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9EB81A" w14:textId="77777777" w:rsidR="008B6C73" w:rsidRDefault="008B6C73"/>
        </w:tc>
        <w:tc>
          <w:tcPr>
            <w:tcW w:w="91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28" w:type="dxa"/>
              <w:left w:w="110" w:type="dxa"/>
              <w:bottom w:w="28" w:type="dxa"/>
              <w:right w:w="0" w:type="dxa"/>
            </w:tcMar>
          </w:tcPr>
          <w:p w14:paraId="5C099A35" w14:textId="77777777" w:rsidR="008B6C73" w:rsidRDefault="00000000">
            <w:r>
              <w:rPr>
                <w:rFonts w:ascii="Calibri" w:eastAsia="Calibri" w:hAnsi="Calibri" w:cs="Calibri"/>
                <w:b/>
                <w:bCs/>
                <w:color w:val="2C5F8A"/>
                <w:sz w:val="16"/>
                <w:szCs w:val="16"/>
              </w:rPr>
              <w:t>EVIDENCE HIGHLIGHTS</w:t>
            </w:r>
          </w:p>
        </w:tc>
      </w:tr>
    </w:tbl>
    <w:p w14:paraId="473E5BED" w14:textId="77777777" w:rsidR="008B6C73" w:rsidRDefault="008B6C73">
      <w:pPr>
        <w:spacing w:after="28"/>
      </w:pPr>
    </w:p>
    <w:tbl>
      <w:tblPr>
        <w:tblW w:w="107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00"/>
        <w:gridCol w:w="8495"/>
      </w:tblGrid>
      <w:tr w:rsidR="008B6C73" w14:paraId="0188D0F1" w14:textId="77777777" w:rsidTr="003B232E">
        <w:tc>
          <w:tcPr>
            <w:tcW w:w="2300" w:type="dxa"/>
            <w:tcBorders>
              <w:top w:val="single" w:sz="4" w:space="0" w:color="C0D6EA"/>
              <w:left w:val="single" w:sz="4" w:space="0" w:color="C0D6EA"/>
              <w:bottom w:val="single" w:sz="4" w:space="0" w:color="C0D6EA"/>
              <w:right w:val="single" w:sz="4" w:space="0" w:color="C0D6EA"/>
            </w:tcBorders>
            <w:shd w:val="clear" w:color="auto" w:fill="DDEAF7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E596FEF" w14:textId="77777777" w:rsidR="008B6C73" w:rsidRDefault="00000000">
            <w:r>
              <w:rPr>
                <w:rFonts w:ascii="Calibri" w:eastAsia="Calibri" w:hAnsi="Calibri" w:cs="Calibri"/>
                <w:b/>
                <w:bCs/>
                <w:color w:val="1B3A5C"/>
                <w:sz w:val="16"/>
                <w:szCs w:val="16"/>
              </w:rPr>
              <w:t>Founded</w:t>
            </w:r>
          </w:p>
        </w:tc>
        <w:tc>
          <w:tcPr>
            <w:tcW w:w="8495" w:type="dxa"/>
            <w:tcBorders>
              <w:top w:val="single" w:sz="4" w:space="0" w:color="C0D6EA"/>
              <w:left w:val="single" w:sz="4" w:space="0" w:color="C0D6EA"/>
              <w:bottom w:val="single" w:sz="4" w:space="0" w:color="C0D6EA"/>
              <w:right w:val="single" w:sz="4" w:space="0" w:color="C0D6EA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100" w:type="dxa"/>
            </w:tcMar>
          </w:tcPr>
          <w:p w14:paraId="0827FFB1" w14:textId="77777777" w:rsidR="008B6C73" w:rsidRDefault="00000000">
            <w:r>
              <w:rPr>
                <w:rFonts w:ascii="Calibri" w:eastAsia="Calibri" w:hAnsi="Calibri" w:cs="Calibri"/>
                <w:color w:val="1A1A1A"/>
                <w:sz w:val="16"/>
                <w:szCs w:val="16"/>
              </w:rPr>
              <w:t>2016 — Solar Stewards operates a patented marketplace for Social RECs</w:t>
            </w:r>
          </w:p>
        </w:tc>
      </w:tr>
      <w:tr w:rsidR="008B6C73" w14:paraId="0D408F11" w14:textId="77777777" w:rsidTr="003B232E">
        <w:tc>
          <w:tcPr>
            <w:tcW w:w="2300" w:type="dxa"/>
            <w:tcBorders>
              <w:top w:val="single" w:sz="4" w:space="0" w:color="C0D6EA"/>
              <w:left w:val="single" w:sz="4" w:space="0" w:color="C0D6EA"/>
              <w:bottom w:val="single" w:sz="4" w:space="0" w:color="C0D6EA"/>
              <w:right w:val="single" w:sz="4" w:space="0" w:color="C0D6EA"/>
            </w:tcBorders>
            <w:shd w:val="clear" w:color="auto" w:fill="C9DCEF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8C46465" w14:textId="77777777" w:rsidR="008B6C73" w:rsidRDefault="00000000">
            <w:r>
              <w:rPr>
                <w:rFonts w:ascii="Calibri" w:eastAsia="Calibri" w:hAnsi="Calibri" w:cs="Calibri"/>
                <w:b/>
                <w:bCs/>
                <w:color w:val="1B3A5C"/>
                <w:sz w:val="16"/>
                <w:szCs w:val="16"/>
              </w:rPr>
              <w:t>Revenue Model</w:t>
            </w:r>
          </w:p>
        </w:tc>
        <w:tc>
          <w:tcPr>
            <w:tcW w:w="8495" w:type="dxa"/>
            <w:tcBorders>
              <w:top w:val="single" w:sz="4" w:space="0" w:color="C0D6EA"/>
              <w:left w:val="single" w:sz="4" w:space="0" w:color="C0D6EA"/>
              <w:bottom w:val="single" w:sz="4" w:space="0" w:color="C0D6EA"/>
              <w:right w:val="single" w:sz="4" w:space="0" w:color="C0D6EA"/>
            </w:tcBorders>
            <w:shd w:val="clear" w:color="auto" w:fill="F5F8FC"/>
            <w:tcMar>
              <w:top w:w="55" w:type="dxa"/>
              <w:left w:w="110" w:type="dxa"/>
              <w:bottom w:w="55" w:type="dxa"/>
              <w:right w:w="100" w:type="dxa"/>
            </w:tcMar>
          </w:tcPr>
          <w:p w14:paraId="214C7566" w14:textId="77777777" w:rsidR="008B6C73" w:rsidRDefault="00000000">
            <w:r>
              <w:rPr>
                <w:rFonts w:ascii="Calibri" w:eastAsia="Calibri" w:hAnsi="Calibri" w:cs="Calibri"/>
                <w:color w:val="1A1A1A"/>
                <w:sz w:val="16"/>
                <w:szCs w:val="16"/>
              </w:rPr>
              <w:t>100% of REC revenue directed to community projects via legally enforceable Community Benefit Agreements</w:t>
            </w:r>
          </w:p>
        </w:tc>
      </w:tr>
      <w:tr w:rsidR="008B6C73" w14:paraId="555B3EB4" w14:textId="77777777" w:rsidTr="003B232E">
        <w:tc>
          <w:tcPr>
            <w:tcW w:w="2300" w:type="dxa"/>
            <w:tcBorders>
              <w:top w:val="single" w:sz="4" w:space="0" w:color="C0D6EA"/>
              <w:left w:val="single" w:sz="4" w:space="0" w:color="C0D6EA"/>
              <w:bottom w:val="single" w:sz="4" w:space="0" w:color="C0D6EA"/>
              <w:right w:val="single" w:sz="4" w:space="0" w:color="C0D6EA"/>
            </w:tcBorders>
            <w:shd w:val="clear" w:color="auto" w:fill="DDEAF7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0BD3DD2" w14:textId="77777777" w:rsidR="008B6C73" w:rsidRDefault="00000000">
            <w:r>
              <w:rPr>
                <w:rFonts w:ascii="Calibri" w:eastAsia="Calibri" w:hAnsi="Calibri" w:cs="Calibri"/>
                <w:b/>
                <w:bCs/>
                <w:color w:val="1B3A5C"/>
                <w:sz w:val="16"/>
                <w:szCs w:val="16"/>
              </w:rPr>
              <w:t>Corporate Buyers</w:t>
            </w:r>
          </w:p>
        </w:tc>
        <w:tc>
          <w:tcPr>
            <w:tcW w:w="8495" w:type="dxa"/>
            <w:tcBorders>
              <w:top w:val="single" w:sz="4" w:space="0" w:color="C0D6EA"/>
              <w:left w:val="single" w:sz="4" w:space="0" w:color="C0D6EA"/>
              <w:bottom w:val="single" w:sz="4" w:space="0" w:color="C0D6EA"/>
              <w:right w:val="single" w:sz="4" w:space="0" w:color="C0D6EA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100" w:type="dxa"/>
            </w:tcMar>
          </w:tcPr>
          <w:p w14:paraId="76F94F11" w14:textId="77777777" w:rsidR="008B6C73" w:rsidRDefault="00000000">
            <w:r>
              <w:rPr>
                <w:rFonts w:ascii="Calibri" w:eastAsia="Calibri" w:hAnsi="Calibri" w:cs="Calibri"/>
                <w:color w:val="1A1A1A"/>
                <w:sz w:val="16"/>
                <w:szCs w:val="16"/>
              </w:rPr>
              <w:t>Climate Stewards: corporations with ESG/CSR mandates willing to pay a community premium</w:t>
            </w:r>
          </w:p>
        </w:tc>
      </w:tr>
      <w:tr w:rsidR="008B6C73" w14:paraId="4C1921D5" w14:textId="77777777" w:rsidTr="003B232E">
        <w:tc>
          <w:tcPr>
            <w:tcW w:w="2300" w:type="dxa"/>
            <w:tcBorders>
              <w:top w:val="single" w:sz="4" w:space="0" w:color="C0D6EA"/>
              <w:left w:val="single" w:sz="4" w:space="0" w:color="C0D6EA"/>
              <w:bottom w:val="single" w:sz="4" w:space="0" w:color="C0D6EA"/>
              <w:right w:val="single" w:sz="4" w:space="0" w:color="C0D6EA"/>
            </w:tcBorders>
            <w:shd w:val="clear" w:color="auto" w:fill="C9DCEF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8816A9D" w14:textId="77777777" w:rsidR="008B6C73" w:rsidRDefault="00000000">
            <w:r>
              <w:rPr>
                <w:rFonts w:ascii="Calibri" w:eastAsia="Calibri" w:hAnsi="Calibri" w:cs="Calibri"/>
                <w:b/>
                <w:bCs/>
                <w:color w:val="1B3A5C"/>
                <w:sz w:val="16"/>
                <w:szCs w:val="16"/>
              </w:rPr>
              <w:t>Verification</w:t>
            </w:r>
          </w:p>
        </w:tc>
        <w:tc>
          <w:tcPr>
            <w:tcW w:w="8495" w:type="dxa"/>
            <w:tcBorders>
              <w:top w:val="single" w:sz="4" w:space="0" w:color="C0D6EA"/>
              <w:left w:val="single" w:sz="4" w:space="0" w:color="C0D6EA"/>
              <w:bottom w:val="single" w:sz="4" w:space="0" w:color="C0D6EA"/>
              <w:right w:val="single" w:sz="4" w:space="0" w:color="C0D6EA"/>
            </w:tcBorders>
            <w:shd w:val="clear" w:color="auto" w:fill="F5F8FC"/>
            <w:tcMar>
              <w:top w:w="55" w:type="dxa"/>
              <w:left w:w="110" w:type="dxa"/>
              <w:bottom w:w="55" w:type="dxa"/>
              <w:right w:w="100" w:type="dxa"/>
            </w:tcMar>
          </w:tcPr>
          <w:p w14:paraId="07E3E01B" w14:textId="77777777" w:rsidR="008B6C73" w:rsidRDefault="00000000">
            <w:r>
              <w:rPr>
                <w:rFonts w:ascii="Calibri" w:eastAsia="Calibri" w:hAnsi="Calibri" w:cs="Calibri"/>
                <w:color w:val="1A1A1A"/>
                <w:sz w:val="16"/>
                <w:szCs w:val="16"/>
              </w:rPr>
              <w:t>Verified through clean energy certificate registries such as M-RETS for transparent tracking</w:t>
            </w:r>
          </w:p>
        </w:tc>
      </w:tr>
      <w:tr w:rsidR="008B6C73" w14:paraId="186986FF" w14:textId="77777777" w:rsidTr="003B232E">
        <w:tc>
          <w:tcPr>
            <w:tcW w:w="2300" w:type="dxa"/>
            <w:tcBorders>
              <w:top w:val="single" w:sz="4" w:space="0" w:color="C0D6EA"/>
              <w:left w:val="single" w:sz="4" w:space="0" w:color="C0D6EA"/>
              <w:bottom w:val="single" w:sz="4" w:space="0" w:color="C0D6EA"/>
              <w:right w:val="single" w:sz="4" w:space="0" w:color="C0D6EA"/>
            </w:tcBorders>
            <w:shd w:val="clear" w:color="auto" w:fill="DDEAF7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B33C0CA" w14:textId="77777777" w:rsidR="008B6C73" w:rsidRDefault="00000000">
            <w:r>
              <w:rPr>
                <w:rFonts w:ascii="Calibri" w:eastAsia="Calibri" w:hAnsi="Calibri" w:cs="Calibri"/>
                <w:b/>
                <w:bCs/>
                <w:color w:val="1B3A5C"/>
                <w:sz w:val="16"/>
                <w:szCs w:val="16"/>
              </w:rPr>
              <w:t>Henderson-Hopkins, Baltimore</w:t>
            </w:r>
          </w:p>
        </w:tc>
        <w:tc>
          <w:tcPr>
            <w:tcW w:w="8495" w:type="dxa"/>
            <w:tcBorders>
              <w:top w:val="single" w:sz="4" w:space="0" w:color="C0D6EA"/>
              <w:left w:val="single" w:sz="4" w:space="0" w:color="C0D6EA"/>
              <w:bottom w:val="single" w:sz="4" w:space="0" w:color="C0D6EA"/>
              <w:right w:val="single" w:sz="4" w:space="0" w:color="C0D6EA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100" w:type="dxa"/>
            </w:tcMar>
          </w:tcPr>
          <w:p w14:paraId="0B78127A" w14:textId="77777777" w:rsidR="008B6C73" w:rsidRDefault="00000000">
            <w:r>
              <w:rPr>
                <w:rFonts w:ascii="Calibri" w:eastAsia="Calibri" w:hAnsi="Calibri" w:cs="Calibri"/>
                <w:color w:val="1A1A1A"/>
                <w:sz w:val="16"/>
                <w:szCs w:val="16"/>
              </w:rPr>
              <w:t>175 LMI households received a 25% energy discount; projected savings of ~$1 million over 35 years</w:t>
            </w:r>
          </w:p>
        </w:tc>
      </w:tr>
      <w:tr w:rsidR="008B6C73" w14:paraId="4CAD3BD4" w14:textId="77777777" w:rsidTr="003B232E">
        <w:tc>
          <w:tcPr>
            <w:tcW w:w="2300" w:type="dxa"/>
            <w:tcBorders>
              <w:top w:val="single" w:sz="4" w:space="0" w:color="C0D6EA"/>
              <w:left w:val="single" w:sz="4" w:space="0" w:color="C0D6EA"/>
              <w:bottom w:val="single" w:sz="4" w:space="0" w:color="C0D6EA"/>
              <w:right w:val="single" w:sz="4" w:space="0" w:color="C0D6EA"/>
            </w:tcBorders>
            <w:shd w:val="clear" w:color="auto" w:fill="C9DCEF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36CB2B7" w14:textId="77777777" w:rsidR="008B6C73" w:rsidRDefault="00000000">
            <w:r>
              <w:rPr>
                <w:rFonts w:ascii="Calibri" w:eastAsia="Calibri" w:hAnsi="Calibri" w:cs="Calibri"/>
                <w:b/>
                <w:bCs/>
                <w:color w:val="1B3A5C"/>
                <w:sz w:val="16"/>
                <w:szCs w:val="16"/>
              </w:rPr>
              <w:t>Indiana (T-Mobile Partnership)</w:t>
            </w:r>
          </w:p>
        </w:tc>
        <w:tc>
          <w:tcPr>
            <w:tcW w:w="8495" w:type="dxa"/>
            <w:tcBorders>
              <w:top w:val="single" w:sz="4" w:space="0" w:color="C0D6EA"/>
              <w:left w:val="single" w:sz="4" w:space="0" w:color="C0D6EA"/>
              <w:bottom w:val="single" w:sz="4" w:space="0" w:color="C0D6EA"/>
              <w:right w:val="single" w:sz="4" w:space="0" w:color="C0D6EA"/>
            </w:tcBorders>
            <w:shd w:val="clear" w:color="auto" w:fill="F5F8FC"/>
            <w:tcMar>
              <w:top w:w="55" w:type="dxa"/>
              <w:left w:w="110" w:type="dxa"/>
              <w:bottom w:w="55" w:type="dxa"/>
              <w:right w:w="100" w:type="dxa"/>
            </w:tcMar>
          </w:tcPr>
          <w:p w14:paraId="1C10D44D" w14:textId="77777777" w:rsidR="008B6C73" w:rsidRDefault="00000000">
            <w:r>
              <w:rPr>
                <w:rFonts w:ascii="Calibri" w:eastAsia="Calibri" w:hAnsi="Calibri" w:cs="Calibri"/>
                <w:color w:val="1A1A1A"/>
                <w:sz w:val="16"/>
                <w:szCs w:val="16"/>
              </w:rPr>
              <w:t>Corporate partnership funded STEAM and robotics programs in underserved communities</w:t>
            </w:r>
          </w:p>
        </w:tc>
      </w:tr>
      <w:tr w:rsidR="008B6C73" w14:paraId="0F1EDBA4" w14:textId="77777777" w:rsidTr="003B232E">
        <w:tc>
          <w:tcPr>
            <w:tcW w:w="2300" w:type="dxa"/>
            <w:tcBorders>
              <w:top w:val="single" w:sz="4" w:space="0" w:color="C0D6EA"/>
              <w:left w:val="single" w:sz="4" w:space="0" w:color="C0D6EA"/>
              <w:bottom w:val="single" w:sz="4" w:space="0" w:color="C0D6EA"/>
              <w:right w:val="single" w:sz="4" w:space="0" w:color="C0D6EA"/>
            </w:tcBorders>
            <w:shd w:val="clear" w:color="auto" w:fill="DDEAF7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CDD1426" w14:textId="77777777" w:rsidR="008B6C73" w:rsidRDefault="00000000">
            <w:r>
              <w:rPr>
                <w:rFonts w:ascii="Calibri" w:eastAsia="Calibri" w:hAnsi="Calibri" w:cs="Calibri"/>
                <w:b/>
                <w:bCs/>
                <w:color w:val="1B3A5C"/>
                <w:sz w:val="16"/>
                <w:szCs w:val="16"/>
              </w:rPr>
              <w:t>Target Communities</w:t>
            </w:r>
          </w:p>
        </w:tc>
        <w:tc>
          <w:tcPr>
            <w:tcW w:w="8495" w:type="dxa"/>
            <w:tcBorders>
              <w:top w:val="single" w:sz="4" w:space="0" w:color="C0D6EA"/>
              <w:left w:val="single" w:sz="4" w:space="0" w:color="C0D6EA"/>
              <w:bottom w:val="single" w:sz="4" w:space="0" w:color="C0D6EA"/>
              <w:right w:val="single" w:sz="4" w:space="0" w:color="C0D6EA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100" w:type="dxa"/>
            </w:tcMar>
          </w:tcPr>
          <w:p w14:paraId="385AD15E" w14:textId="77777777" w:rsidR="008B6C73" w:rsidRDefault="00000000">
            <w:r>
              <w:rPr>
                <w:rFonts w:ascii="Calibri" w:eastAsia="Calibri" w:hAnsi="Calibri" w:cs="Calibri"/>
                <w:color w:val="1A1A1A"/>
                <w:sz w:val="16"/>
                <w:szCs w:val="16"/>
              </w:rPr>
              <w:t>Schools, affordable housing, places of worship, and nonprofits in marginalized communities</w:t>
            </w:r>
          </w:p>
        </w:tc>
      </w:tr>
      <w:tr w:rsidR="008B6C73" w14:paraId="039690E5" w14:textId="77777777" w:rsidTr="003B232E">
        <w:tc>
          <w:tcPr>
            <w:tcW w:w="2300" w:type="dxa"/>
            <w:tcBorders>
              <w:top w:val="single" w:sz="4" w:space="0" w:color="C0D6EA"/>
              <w:left w:val="single" w:sz="4" w:space="0" w:color="C0D6EA"/>
              <w:bottom w:val="single" w:sz="4" w:space="0" w:color="C0D6EA"/>
              <w:right w:val="single" w:sz="4" w:space="0" w:color="C0D6EA"/>
            </w:tcBorders>
            <w:shd w:val="clear" w:color="auto" w:fill="C9DCEF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DDCE9E9" w14:textId="77777777" w:rsidR="008B6C73" w:rsidRDefault="00000000">
            <w:r>
              <w:rPr>
                <w:rFonts w:ascii="Calibri" w:eastAsia="Calibri" w:hAnsi="Calibri" w:cs="Calibri"/>
                <w:b/>
                <w:bCs/>
                <w:color w:val="1B3A5C"/>
                <w:sz w:val="16"/>
                <w:szCs w:val="16"/>
              </w:rPr>
              <w:t>Atlanta Relevance</w:t>
            </w:r>
          </w:p>
        </w:tc>
        <w:tc>
          <w:tcPr>
            <w:tcW w:w="8495" w:type="dxa"/>
            <w:tcBorders>
              <w:top w:val="single" w:sz="4" w:space="0" w:color="C0D6EA"/>
              <w:left w:val="single" w:sz="4" w:space="0" w:color="C0D6EA"/>
              <w:bottom w:val="single" w:sz="4" w:space="0" w:color="C0D6EA"/>
              <w:right w:val="single" w:sz="4" w:space="0" w:color="C0D6EA"/>
            </w:tcBorders>
            <w:shd w:val="clear" w:color="auto" w:fill="F5F8FC"/>
            <w:tcMar>
              <w:top w:w="55" w:type="dxa"/>
              <w:left w:w="110" w:type="dxa"/>
              <w:bottom w:w="55" w:type="dxa"/>
              <w:right w:w="100" w:type="dxa"/>
            </w:tcMar>
          </w:tcPr>
          <w:p w14:paraId="0F06667D" w14:textId="77777777" w:rsidR="008B6C73" w:rsidRDefault="00000000">
            <w:r>
              <w:rPr>
                <w:rFonts w:ascii="Calibri" w:eastAsia="Calibri" w:hAnsi="Calibri" w:cs="Calibri"/>
                <w:color w:val="1A1A1A"/>
                <w:sz w:val="16"/>
                <w:szCs w:val="16"/>
              </w:rPr>
              <w:t>Especially powerful in weak state-enabling environments like Georgia where federal/state infrastructure is limited</w:t>
            </w:r>
          </w:p>
        </w:tc>
      </w:tr>
    </w:tbl>
    <w:p w14:paraId="42415F9B" w14:textId="77777777" w:rsidR="008B6C73" w:rsidRDefault="008B6C73">
      <w:pPr>
        <w:spacing w:after="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"/>
        <w:gridCol w:w="9180"/>
      </w:tblGrid>
      <w:tr w:rsidR="008B6C73" w14:paraId="5A10388B" w14:textId="77777777">
        <w:tc>
          <w:tcPr>
            <w:tcW w:w="1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2C5F8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FDA2E9" w14:textId="77777777" w:rsidR="008B6C73" w:rsidRDefault="008B6C73"/>
        </w:tc>
        <w:tc>
          <w:tcPr>
            <w:tcW w:w="91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28" w:type="dxa"/>
              <w:left w:w="110" w:type="dxa"/>
              <w:bottom w:w="28" w:type="dxa"/>
              <w:right w:w="0" w:type="dxa"/>
            </w:tcMar>
          </w:tcPr>
          <w:p w14:paraId="7D5FAA2B" w14:textId="77777777" w:rsidR="008B6C73" w:rsidRDefault="00000000">
            <w:r>
              <w:rPr>
                <w:rFonts w:ascii="Calibri" w:eastAsia="Calibri" w:hAnsi="Calibri" w:cs="Calibri"/>
                <w:b/>
                <w:bCs/>
                <w:color w:val="2C5F8A"/>
                <w:sz w:val="16"/>
                <w:szCs w:val="16"/>
              </w:rPr>
              <w:t>HOW IT WORKS</w:t>
            </w:r>
          </w:p>
        </w:tc>
      </w:tr>
    </w:tbl>
    <w:p w14:paraId="3B560F54" w14:textId="77777777" w:rsidR="008B6C73" w:rsidRDefault="008B6C73">
      <w:pPr>
        <w:spacing w:after="28"/>
      </w:pPr>
    </w:p>
    <w:tbl>
      <w:tblPr>
        <w:tblW w:w="107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35"/>
        <w:gridCol w:w="5760"/>
      </w:tblGrid>
      <w:tr w:rsidR="008B6C73" w14:paraId="7B50C149" w14:textId="77777777" w:rsidTr="003B232E">
        <w:tc>
          <w:tcPr>
            <w:tcW w:w="5035" w:type="dxa"/>
            <w:tcBorders>
              <w:top w:val="single" w:sz="4" w:space="0" w:color="C0D6EA"/>
              <w:left w:val="single" w:sz="4" w:space="0" w:color="C0D6EA"/>
              <w:bottom w:val="single" w:sz="4" w:space="0" w:color="C0D6EA"/>
              <w:right w:val="single" w:sz="4" w:space="0" w:color="C0D6EA"/>
            </w:tcBorders>
            <w:shd w:val="clear" w:color="auto" w:fill="EDF4FC"/>
            <w:tcMar>
              <w:top w:w="60" w:type="dxa"/>
              <w:left w:w="110" w:type="dxa"/>
              <w:bottom w:w="65" w:type="dxa"/>
              <w:right w:w="110" w:type="dxa"/>
            </w:tcMar>
          </w:tcPr>
          <w:p w14:paraId="6F96D364" w14:textId="77777777" w:rsidR="008B6C73" w:rsidRDefault="00000000">
            <w:pPr>
              <w:spacing w:after="30"/>
            </w:pPr>
            <w:r>
              <w:rPr>
                <w:rFonts w:ascii="Calibri" w:eastAsia="Calibri" w:hAnsi="Calibri" w:cs="Calibri"/>
                <w:b/>
                <w:bCs/>
                <w:color w:val="2C5F8A"/>
                <w:sz w:val="16"/>
                <w:szCs w:val="16"/>
              </w:rPr>
              <w:t>① Solar Project Generates RECs</w:t>
            </w:r>
          </w:p>
          <w:p w14:paraId="0838A748" w14:textId="77777777" w:rsidR="008B6C73" w:rsidRDefault="00000000">
            <w:r>
              <w:rPr>
                <w:rFonts w:ascii="Calibri" w:eastAsia="Calibri" w:hAnsi="Calibri" w:cs="Calibri"/>
                <w:color w:val="1A1A1A"/>
                <w:sz w:val="16"/>
                <w:szCs w:val="16"/>
              </w:rPr>
              <w:t>A solar project sited in or serving an underserved community generates renewable energy certificates verified through a recognized registry (e.g., M-RETS). Projects range from rooftop to community solar gardens.</w:t>
            </w:r>
          </w:p>
        </w:tc>
        <w:tc>
          <w:tcPr>
            <w:tcW w:w="5760" w:type="dxa"/>
            <w:tcBorders>
              <w:top w:val="single" w:sz="4" w:space="0" w:color="C0D6EA"/>
              <w:left w:val="single" w:sz="4" w:space="0" w:color="C0D6EA"/>
              <w:bottom w:val="single" w:sz="4" w:space="0" w:color="C0D6EA"/>
              <w:right w:val="single" w:sz="4" w:space="0" w:color="C0D6EA"/>
            </w:tcBorders>
            <w:shd w:val="clear" w:color="auto" w:fill="F5F8FC"/>
            <w:tcMar>
              <w:top w:w="60" w:type="dxa"/>
              <w:left w:w="110" w:type="dxa"/>
              <w:bottom w:w="65" w:type="dxa"/>
              <w:right w:w="110" w:type="dxa"/>
            </w:tcMar>
          </w:tcPr>
          <w:p w14:paraId="007623B1" w14:textId="77777777" w:rsidR="008B6C73" w:rsidRDefault="00000000">
            <w:pPr>
              <w:spacing w:after="30"/>
            </w:pPr>
            <w:r>
              <w:rPr>
                <w:rFonts w:ascii="Calibri" w:eastAsia="Calibri" w:hAnsi="Calibri" w:cs="Calibri"/>
                <w:b/>
                <w:bCs/>
                <w:color w:val="2C5F8A"/>
                <w:sz w:val="16"/>
                <w:szCs w:val="16"/>
              </w:rPr>
              <w:t>② Corporate Buyer Purchases Social RECs</w:t>
            </w:r>
          </w:p>
          <w:p w14:paraId="4F43E90F" w14:textId="77777777" w:rsidR="008B6C73" w:rsidRDefault="00000000">
            <w:r>
              <w:rPr>
                <w:rFonts w:ascii="Calibri" w:eastAsia="Calibri" w:hAnsi="Calibri" w:cs="Calibri"/>
                <w:color w:val="1A1A1A"/>
                <w:sz w:val="16"/>
                <w:szCs w:val="16"/>
              </w:rPr>
              <w:t>A corporation with ESG/sustainability goals purchases Social RECs through the Solar Stewards marketplace, paying a community premium above standard REC market prices.</w:t>
            </w:r>
          </w:p>
        </w:tc>
      </w:tr>
      <w:tr w:rsidR="008B6C73" w14:paraId="3C93B32C" w14:textId="77777777" w:rsidTr="003B232E">
        <w:tc>
          <w:tcPr>
            <w:tcW w:w="5035" w:type="dxa"/>
            <w:tcBorders>
              <w:top w:val="single" w:sz="4" w:space="0" w:color="C0D6EA"/>
              <w:left w:val="single" w:sz="4" w:space="0" w:color="C0D6EA"/>
              <w:bottom w:val="single" w:sz="4" w:space="0" w:color="C0D6EA"/>
              <w:right w:val="single" w:sz="4" w:space="0" w:color="C0D6EA"/>
            </w:tcBorders>
            <w:shd w:val="clear" w:color="auto" w:fill="F5F8FC"/>
            <w:tcMar>
              <w:top w:w="60" w:type="dxa"/>
              <w:left w:w="110" w:type="dxa"/>
              <w:bottom w:w="65" w:type="dxa"/>
              <w:right w:w="110" w:type="dxa"/>
            </w:tcMar>
          </w:tcPr>
          <w:p w14:paraId="6413F4D8" w14:textId="77777777" w:rsidR="008B6C73" w:rsidRDefault="00000000">
            <w:pPr>
              <w:spacing w:after="30"/>
            </w:pPr>
            <w:r>
              <w:rPr>
                <w:rFonts w:ascii="Calibri" w:eastAsia="Calibri" w:hAnsi="Calibri" w:cs="Calibri"/>
                <w:b/>
                <w:bCs/>
                <w:color w:val="2C5F8A"/>
                <w:sz w:val="16"/>
                <w:szCs w:val="16"/>
              </w:rPr>
              <w:t>③ Community Benefit Agreement</w:t>
            </w:r>
          </w:p>
          <w:p w14:paraId="6CA4EEE3" w14:textId="77777777" w:rsidR="008B6C73" w:rsidRDefault="00000000">
            <w:r>
              <w:rPr>
                <w:rFonts w:ascii="Calibri" w:eastAsia="Calibri" w:hAnsi="Calibri" w:cs="Calibri"/>
                <w:color w:val="1A1A1A"/>
                <w:sz w:val="16"/>
                <w:szCs w:val="16"/>
              </w:rPr>
              <w:t>100% of Social REC revenue flows to the community partner through a legally enforceable Community Benefit Agreement specifying exactly how funds will be used.</w:t>
            </w:r>
          </w:p>
        </w:tc>
        <w:tc>
          <w:tcPr>
            <w:tcW w:w="5760" w:type="dxa"/>
            <w:tcBorders>
              <w:top w:val="single" w:sz="4" w:space="0" w:color="C0D6EA"/>
              <w:left w:val="single" w:sz="4" w:space="0" w:color="C0D6EA"/>
              <w:bottom w:val="single" w:sz="4" w:space="0" w:color="C0D6EA"/>
              <w:right w:val="single" w:sz="4" w:space="0" w:color="C0D6EA"/>
            </w:tcBorders>
            <w:shd w:val="clear" w:color="auto" w:fill="EDF4FC"/>
            <w:tcMar>
              <w:top w:w="60" w:type="dxa"/>
              <w:left w:w="110" w:type="dxa"/>
              <w:bottom w:w="65" w:type="dxa"/>
              <w:right w:w="110" w:type="dxa"/>
            </w:tcMar>
          </w:tcPr>
          <w:p w14:paraId="0E6D744D" w14:textId="77777777" w:rsidR="008B6C73" w:rsidRDefault="00000000">
            <w:pPr>
              <w:spacing w:after="30"/>
            </w:pPr>
            <w:r>
              <w:rPr>
                <w:rFonts w:ascii="Calibri" w:eastAsia="Calibri" w:hAnsi="Calibri" w:cs="Calibri"/>
                <w:b/>
                <w:bCs/>
                <w:color w:val="2C5F8A"/>
                <w:sz w:val="16"/>
                <w:szCs w:val="16"/>
              </w:rPr>
              <w:t>④ Verification &amp; Credibility</w:t>
            </w:r>
          </w:p>
          <w:p w14:paraId="18136EF0" w14:textId="77777777" w:rsidR="008B6C73" w:rsidRDefault="00000000">
            <w:r>
              <w:rPr>
                <w:rFonts w:ascii="Calibri" w:eastAsia="Calibri" w:hAnsi="Calibri" w:cs="Calibri"/>
                <w:color w:val="1A1A1A"/>
                <w:sz w:val="16"/>
                <w:szCs w:val="16"/>
              </w:rPr>
              <w:t>REC registry documentation, clear contracts, and evidence of delivered community benefits create the credibility that corporate buyers require. Transparent verification is essential for market trust.</w:t>
            </w:r>
          </w:p>
        </w:tc>
      </w:tr>
    </w:tbl>
    <w:p w14:paraId="094D6B7D" w14:textId="77777777" w:rsidR="008B6C73" w:rsidRDefault="008B6C73">
      <w:pPr>
        <w:spacing w:after="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"/>
        <w:gridCol w:w="9180"/>
      </w:tblGrid>
      <w:tr w:rsidR="008B6C73" w14:paraId="39EEABB4" w14:textId="77777777">
        <w:tc>
          <w:tcPr>
            <w:tcW w:w="1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2C5F8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215F57" w14:textId="77777777" w:rsidR="008B6C73" w:rsidRDefault="008B6C73"/>
        </w:tc>
        <w:tc>
          <w:tcPr>
            <w:tcW w:w="91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28" w:type="dxa"/>
              <w:left w:w="110" w:type="dxa"/>
              <w:bottom w:w="28" w:type="dxa"/>
              <w:right w:w="0" w:type="dxa"/>
            </w:tcMar>
          </w:tcPr>
          <w:p w14:paraId="6D539100" w14:textId="77777777" w:rsidR="008B6C73" w:rsidRDefault="00000000">
            <w:r>
              <w:rPr>
                <w:rFonts w:ascii="Calibri" w:eastAsia="Calibri" w:hAnsi="Calibri" w:cs="Calibri"/>
                <w:b/>
                <w:bCs/>
                <w:color w:val="2C5F8A"/>
                <w:sz w:val="16"/>
                <w:szCs w:val="16"/>
              </w:rPr>
              <w:t>ENABLING CONDITIONS &amp; REPLICATION</w:t>
            </w:r>
          </w:p>
        </w:tc>
      </w:tr>
    </w:tbl>
    <w:p w14:paraId="143DF83A" w14:textId="77777777" w:rsidR="008B6C73" w:rsidRDefault="008B6C73">
      <w:pPr>
        <w:spacing w:after="28"/>
      </w:pPr>
    </w:p>
    <w:tbl>
      <w:tblPr>
        <w:tblW w:w="107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0"/>
        <w:gridCol w:w="6115"/>
      </w:tblGrid>
      <w:tr w:rsidR="008B6C73" w14:paraId="131B1EFA" w14:textId="77777777" w:rsidTr="003B232E">
        <w:tc>
          <w:tcPr>
            <w:tcW w:w="4680" w:type="dxa"/>
            <w:tcBorders>
              <w:top w:val="single" w:sz="4" w:space="0" w:color="C0D6EA"/>
              <w:left w:val="single" w:sz="4" w:space="0" w:color="C0D6EA"/>
              <w:bottom w:val="single" w:sz="4" w:space="0" w:color="C0D6EA"/>
              <w:right w:val="single" w:sz="4" w:space="0" w:color="C0D6EA"/>
            </w:tcBorders>
            <w:shd w:val="clear" w:color="auto" w:fill="2C5F8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286888C3" w14:textId="77777777" w:rsidR="008B6C73" w:rsidRDefault="00000000">
            <w:r>
              <w:rPr>
                <w:rFonts w:ascii="Calibri" w:eastAsia="Calibri" w:hAnsi="Calibri" w:cs="Calibri"/>
                <w:b/>
                <w:bCs/>
                <w:color w:val="FFFFFF"/>
                <w:sz w:val="16"/>
                <w:szCs w:val="16"/>
              </w:rPr>
              <w:t>What Made It Possible</w:t>
            </w:r>
          </w:p>
        </w:tc>
        <w:tc>
          <w:tcPr>
            <w:tcW w:w="6115" w:type="dxa"/>
            <w:tcBorders>
              <w:top w:val="single" w:sz="4" w:space="0" w:color="C0D6EA"/>
              <w:left w:val="single" w:sz="4" w:space="0" w:color="C0D6EA"/>
              <w:bottom w:val="single" w:sz="4" w:space="0" w:color="C0D6EA"/>
              <w:right w:val="single" w:sz="4" w:space="0" w:color="C0D6EA"/>
            </w:tcBorders>
            <w:shd w:val="clear" w:color="auto" w:fill="2C5F8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4D536373" w14:textId="77777777" w:rsidR="008B6C73" w:rsidRDefault="00000000">
            <w:r>
              <w:rPr>
                <w:rFonts w:ascii="Calibri" w:eastAsia="Calibri" w:hAnsi="Calibri" w:cs="Calibri"/>
                <w:b/>
                <w:bCs/>
                <w:color w:val="FFFFFF"/>
                <w:sz w:val="16"/>
                <w:szCs w:val="16"/>
              </w:rPr>
              <w:t>Who Can Replicate This</w:t>
            </w:r>
          </w:p>
        </w:tc>
      </w:tr>
      <w:tr w:rsidR="008B6C73" w14:paraId="4DD2AC5D" w14:textId="77777777" w:rsidTr="003B232E">
        <w:tc>
          <w:tcPr>
            <w:tcW w:w="4680" w:type="dxa"/>
            <w:tcBorders>
              <w:top w:val="single" w:sz="4" w:space="0" w:color="C0D6EA"/>
              <w:left w:val="single" w:sz="4" w:space="0" w:color="C0D6EA"/>
              <w:bottom w:val="single" w:sz="4" w:space="0" w:color="C0D6EA"/>
              <w:right w:val="single" w:sz="4" w:space="0" w:color="C0D6EA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110" w:type="dxa"/>
            </w:tcMar>
          </w:tcPr>
          <w:p w14:paraId="12801B63" w14:textId="77777777" w:rsidR="008B6C73" w:rsidRDefault="00000000">
            <w:r>
              <w:rPr>
                <w:rFonts w:ascii="Calibri" w:eastAsia="Calibri" w:hAnsi="Calibri" w:cs="Calibri"/>
                <w:color w:val="1A1A1A"/>
                <w:sz w:val="16"/>
                <w:szCs w:val="16"/>
              </w:rPr>
              <w:t>Patented marketplace model creates a clear transaction structure between corporate buyers and community partners</w:t>
            </w:r>
          </w:p>
        </w:tc>
        <w:tc>
          <w:tcPr>
            <w:tcW w:w="6115" w:type="dxa"/>
            <w:tcBorders>
              <w:top w:val="single" w:sz="4" w:space="0" w:color="C0D6EA"/>
              <w:left w:val="single" w:sz="4" w:space="0" w:color="C0D6EA"/>
              <w:bottom w:val="single" w:sz="4" w:space="0" w:color="C0D6EA"/>
              <w:right w:val="single" w:sz="4" w:space="0" w:color="C0D6EA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110" w:type="dxa"/>
            </w:tcMar>
          </w:tcPr>
          <w:p w14:paraId="57A77224" w14:textId="1188683F" w:rsidR="008B6C73" w:rsidRDefault="00000000">
            <w:r>
              <w:rPr>
                <w:rFonts w:ascii="Calibri" w:eastAsia="Calibri" w:hAnsi="Calibri" w:cs="Calibri"/>
                <w:color w:val="1A1A1A"/>
                <w:sz w:val="16"/>
                <w:szCs w:val="16"/>
              </w:rPr>
              <w:t>Cities with active corporate sustainability sectors can convene similar marketplace structure</w:t>
            </w:r>
          </w:p>
        </w:tc>
      </w:tr>
      <w:tr w:rsidR="008B6C73" w14:paraId="44A98984" w14:textId="77777777" w:rsidTr="003B232E">
        <w:tc>
          <w:tcPr>
            <w:tcW w:w="4680" w:type="dxa"/>
            <w:tcBorders>
              <w:top w:val="single" w:sz="4" w:space="0" w:color="C0D6EA"/>
              <w:left w:val="single" w:sz="4" w:space="0" w:color="C0D6EA"/>
              <w:bottom w:val="single" w:sz="4" w:space="0" w:color="C0D6EA"/>
              <w:right w:val="single" w:sz="4" w:space="0" w:color="C0D6EA"/>
            </w:tcBorders>
            <w:shd w:val="clear" w:color="auto" w:fill="F5F8FC"/>
            <w:tcMar>
              <w:top w:w="55" w:type="dxa"/>
              <w:left w:w="110" w:type="dxa"/>
              <w:bottom w:w="55" w:type="dxa"/>
              <w:right w:w="110" w:type="dxa"/>
            </w:tcMar>
          </w:tcPr>
          <w:p w14:paraId="262B4B19" w14:textId="77777777" w:rsidR="008B6C73" w:rsidRDefault="00000000">
            <w:r>
              <w:rPr>
                <w:rFonts w:ascii="Calibri" w:eastAsia="Calibri" w:hAnsi="Calibri" w:cs="Calibri"/>
                <w:color w:val="1A1A1A"/>
                <w:sz w:val="16"/>
                <w:szCs w:val="16"/>
              </w:rPr>
              <w:t>Legally enforceable Community Benefit Agreements ensure 100% of revenue reaches intended community</w:t>
            </w:r>
          </w:p>
        </w:tc>
        <w:tc>
          <w:tcPr>
            <w:tcW w:w="6115" w:type="dxa"/>
            <w:tcBorders>
              <w:top w:val="single" w:sz="4" w:space="0" w:color="C0D6EA"/>
              <w:left w:val="single" w:sz="4" w:space="0" w:color="C0D6EA"/>
              <w:bottom w:val="single" w:sz="4" w:space="0" w:color="C0D6EA"/>
              <w:right w:val="single" w:sz="4" w:space="0" w:color="C0D6EA"/>
            </w:tcBorders>
            <w:shd w:val="clear" w:color="auto" w:fill="F5F8FC"/>
            <w:tcMar>
              <w:top w:w="55" w:type="dxa"/>
              <w:left w:w="110" w:type="dxa"/>
              <w:bottom w:w="55" w:type="dxa"/>
              <w:right w:w="110" w:type="dxa"/>
            </w:tcMar>
          </w:tcPr>
          <w:p w14:paraId="65ECB35B" w14:textId="77777777" w:rsidR="008B6C73" w:rsidRDefault="00000000">
            <w:r>
              <w:rPr>
                <w:rFonts w:ascii="Calibri" w:eastAsia="Calibri" w:hAnsi="Calibri" w:cs="Calibri"/>
                <w:color w:val="1A1A1A"/>
                <w:sz w:val="16"/>
                <w:szCs w:val="16"/>
              </w:rPr>
              <w:t>Any city can require enforceable CBAs as a condition of participation in clean energy procurement programs</w:t>
            </w:r>
          </w:p>
        </w:tc>
      </w:tr>
      <w:tr w:rsidR="008B6C73" w14:paraId="1275FE4E" w14:textId="77777777" w:rsidTr="003B232E">
        <w:tc>
          <w:tcPr>
            <w:tcW w:w="4680" w:type="dxa"/>
            <w:tcBorders>
              <w:top w:val="single" w:sz="4" w:space="0" w:color="C0D6EA"/>
              <w:left w:val="single" w:sz="4" w:space="0" w:color="C0D6EA"/>
              <w:bottom w:val="single" w:sz="4" w:space="0" w:color="C0D6EA"/>
              <w:right w:val="single" w:sz="4" w:space="0" w:color="C0D6EA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110" w:type="dxa"/>
            </w:tcMar>
          </w:tcPr>
          <w:p w14:paraId="370D7687" w14:textId="77777777" w:rsidR="008B6C73" w:rsidRDefault="00000000">
            <w:r>
              <w:rPr>
                <w:rFonts w:ascii="Calibri" w:eastAsia="Calibri" w:hAnsi="Calibri" w:cs="Calibri"/>
                <w:color w:val="1A1A1A"/>
                <w:sz w:val="16"/>
                <w:szCs w:val="16"/>
              </w:rPr>
              <w:t>REC registry verification (M-RETS) provides transparent, third-party tracking that builds corporate buyer confidence</w:t>
            </w:r>
          </w:p>
        </w:tc>
        <w:tc>
          <w:tcPr>
            <w:tcW w:w="6115" w:type="dxa"/>
            <w:tcBorders>
              <w:top w:val="single" w:sz="4" w:space="0" w:color="C0D6EA"/>
              <w:left w:val="single" w:sz="4" w:space="0" w:color="C0D6EA"/>
              <w:bottom w:val="single" w:sz="4" w:space="0" w:color="C0D6EA"/>
              <w:right w:val="single" w:sz="4" w:space="0" w:color="C0D6EA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110" w:type="dxa"/>
            </w:tcMar>
          </w:tcPr>
          <w:p w14:paraId="1A88F043" w14:textId="77777777" w:rsidR="008B6C73" w:rsidRDefault="00000000">
            <w:r>
              <w:rPr>
                <w:rFonts w:ascii="Calibri" w:eastAsia="Calibri" w:hAnsi="Calibri" w:cs="Calibri"/>
                <w:color w:val="1A1A1A"/>
                <w:sz w:val="16"/>
                <w:szCs w:val="16"/>
              </w:rPr>
              <w:t>Cities should ensure community solar projects are registered in recognized REC tracking systems before marketing to buyers</w:t>
            </w:r>
          </w:p>
        </w:tc>
      </w:tr>
      <w:tr w:rsidR="008B6C73" w14:paraId="791E154A" w14:textId="77777777" w:rsidTr="003B232E">
        <w:tc>
          <w:tcPr>
            <w:tcW w:w="4680" w:type="dxa"/>
            <w:tcBorders>
              <w:top w:val="single" w:sz="4" w:space="0" w:color="C0D6EA"/>
              <w:left w:val="single" w:sz="4" w:space="0" w:color="C0D6EA"/>
              <w:bottom w:val="single" w:sz="4" w:space="0" w:color="C0D6EA"/>
              <w:right w:val="single" w:sz="4" w:space="0" w:color="C0D6EA"/>
            </w:tcBorders>
            <w:shd w:val="clear" w:color="auto" w:fill="F5F8FC"/>
            <w:tcMar>
              <w:top w:w="55" w:type="dxa"/>
              <w:left w:w="110" w:type="dxa"/>
              <w:bottom w:w="55" w:type="dxa"/>
              <w:right w:w="110" w:type="dxa"/>
            </w:tcMar>
          </w:tcPr>
          <w:p w14:paraId="53A9A025" w14:textId="77777777" w:rsidR="008B6C73" w:rsidRDefault="00000000">
            <w:r>
              <w:rPr>
                <w:rFonts w:ascii="Calibri" w:eastAsia="Calibri" w:hAnsi="Calibri" w:cs="Calibri"/>
                <w:color w:val="1A1A1A"/>
                <w:sz w:val="16"/>
                <w:szCs w:val="16"/>
              </w:rPr>
              <w:t>Corporate ESG/CSR mandates create voluntary demand for Social RECs without government subsidy</w:t>
            </w:r>
          </w:p>
        </w:tc>
        <w:tc>
          <w:tcPr>
            <w:tcW w:w="6115" w:type="dxa"/>
            <w:tcBorders>
              <w:top w:val="single" w:sz="4" w:space="0" w:color="C0D6EA"/>
              <w:left w:val="single" w:sz="4" w:space="0" w:color="C0D6EA"/>
              <w:bottom w:val="single" w:sz="4" w:space="0" w:color="C0D6EA"/>
              <w:right w:val="single" w:sz="4" w:space="0" w:color="C0D6EA"/>
            </w:tcBorders>
            <w:shd w:val="clear" w:color="auto" w:fill="F5F8FC"/>
            <w:tcMar>
              <w:top w:w="55" w:type="dxa"/>
              <w:left w:w="110" w:type="dxa"/>
              <w:bottom w:w="55" w:type="dxa"/>
              <w:right w:w="110" w:type="dxa"/>
            </w:tcMar>
          </w:tcPr>
          <w:p w14:paraId="2D7192EB" w14:textId="77777777" w:rsidR="008B6C73" w:rsidRDefault="00000000">
            <w:r>
              <w:rPr>
                <w:rFonts w:ascii="Calibri" w:eastAsia="Calibri" w:hAnsi="Calibri" w:cs="Calibri"/>
                <w:color w:val="1A1A1A"/>
                <w:sz w:val="16"/>
                <w:szCs w:val="16"/>
              </w:rPr>
              <w:t>Cities should cultivate relationships with local corporate sustainability officers to drive demand</w:t>
            </w:r>
          </w:p>
        </w:tc>
      </w:tr>
      <w:tr w:rsidR="008B6C73" w14:paraId="29FE1382" w14:textId="77777777" w:rsidTr="003B232E">
        <w:tc>
          <w:tcPr>
            <w:tcW w:w="4680" w:type="dxa"/>
            <w:tcBorders>
              <w:top w:val="single" w:sz="4" w:space="0" w:color="C0D6EA"/>
              <w:left w:val="single" w:sz="4" w:space="0" w:color="C0D6EA"/>
              <w:bottom w:val="single" w:sz="4" w:space="0" w:color="C0D6EA"/>
              <w:right w:val="single" w:sz="4" w:space="0" w:color="C0D6EA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110" w:type="dxa"/>
            </w:tcMar>
          </w:tcPr>
          <w:p w14:paraId="1223A282" w14:textId="77777777" w:rsidR="008B6C73" w:rsidRDefault="00000000">
            <w:r>
              <w:rPr>
                <w:rFonts w:ascii="Calibri" w:eastAsia="Calibri" w:hAnsi="Calibri" w:cs="Calibri"/>
                <w:color w:val="1A1A1A"/>
                <w:sz w:val="16"/>
                <w:szCs w:val="16"/>
              </w:rPr>
              <w:t>Model works in weak state-enabling environments like Georgia where federal/state program infrastructure is limited</w:t>
            </w:r>
          </w:p>
        </w:tc>
        <w:tc>
          <w:tcPr>
            <w:tcW w:w="6115" w:type="dxa"/>
            <w:tcBorders>
              <w:top w:val="single" w:sz="4" w:space="0" w:color="C0D6EA"/>
              <w:left w:val="single" w:sz="4" w:space="0" w:color="C0D6EA"/>
              <w:bottom w:val="single" w:sz="4" w:space="0" w:color="C0D6EA"/>
              <w:right w:val="single" w:sz="4" w:space="0" w:color="C0D6EA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110" w:type="dxa"/>
            </w:tcMar>
          </w:tcPr>
          <w:p w14:paraId="7C1E1AFB" w14:textId="77777777" w:rsidR="008B6C73" w:rsidRDefault="00000000">
            <w:r>
              <w:rPr>
                <w:rFonts w:ascii="Calibri" w:eastAsia="Calibri" w:hAnsi="Calibri" w:cs="Calibri"/>
                <w:color w:val="1A1A1A"/>
                <w:sz w:val="16"/>
                <w:szCs w:val="16"/>
              </w:rPr>
              <w:t>Any city regardless of state policy environment can pursue this model using existing REC markets and CBA structures</w:t>
            </w:r>
          </w:p>
        </w:tc>
      </w:tr>
      <w:tr w:rsidR="008B6C73" w14:paraId="08B3EF79" w14:textId="77777777" w:rsidTr="003B232E">
        <w:tc>
          <w:tcPr>
            <w:tcW w:w="4680" w:type="dxa"/>
            <w:tcBorders>
              <w:top w:val="single" w:sz="4" w:space="0" w:color="C0D6EA"/>
              <w:left w:val="single" w:sz="4" w:space="0" w:color="C0D6EA"/>
              <w:bottom w:val="single" w:sz="4" w:space="0" w:color="C0D6EA"/>
              <w:right w:val="single" w:sz="4" w:space="0" w:color="C0D6EA"/>
            </w:tcBorders>
            <w:shd w:val="clear" w:color="auto" w:fill="F5F8FC"/>
            <w:tcMar>
              <w:top w:w="55" w:type="dxa"/>
              <w:left w:w="110" w:type="dxa"/>
              <w:bottom w:w="55" w:type="dxa"/>
              <w:right w:w="110" w:type="dxa"/>
            </w:tcMar>
          </w:tcPr>
          <w:p w14:paraId="133F33AD" w14:textId="77777777" w:rsidR="008B6C73" w:rsidRDefault="00000000">
            <w:r>
              <w:rPr>
                <w:rFonts w:ascii="Calibri" w:eastAsia="Calibri" w:hAnsi="Calibri" w:cs="Calibri"/>
                <w:color w:val="1A1A1A"/>
                <w:sz w:val="16"/>
                <w:szCs w:val="16"/>
              </w:rPr>
              <w:t>Credible local intermediary is essential to connect corporate buyers with community solar projects</w:t>
            </w:r>
          </w:p>
        </w:tc>
        <w:tc>
          <w:tcPr>
            <w:tcW w:w="6115" w:type="dxa"/>
            <w:tcBorders>
              <w:top w:val="single" w:sz="4" w:space="0" w:color="C0D6EA"/>
              <w:left w:val="single" w:sz="4" w:space="0" w:color="C0D6EA"/>
              <w:bottom w:val="single" w:sz="4" w:space="0" w:color="C0D6EA"/>
              <w:right w:val="single" w:sz="4" w:space="0" w:color="C0D6EA"/>
            </w:tcBorders>
            <w:shd w:val="clear" w:color="auto" w:fill="F5F8FC"/>
            <w:tcMar>
              <w:top w:w="55" w:type="dxa"/>
              <w:left w:w="110" w:type="dxa"/>
              <w:bottom w:w="55" w:type="dxa"/>
              <w:right w:w="110" w:type="dxa"/>
            </w:tcMar>
          </w:tcPr>
          <w:p w14:paraId="7AAE3854" w14:textId="77777777" w:rsidR="008B6C73" w:rsidRDefault="00000000">
            <w:r>
              <w:rPr>
                <w:rFonts w:ascii="Calibri" w:eastAsia="Calibri" w:hAnsi="Calibri" w:cs="Calibri"/>
                <w:color w:val="1A1A1A"/>
                <w:sz w:val="16"/>
                <w:szCs w:val="16"/>
              </w:rPr>
              <w:t>Cities should identify or help build a local organization capable of serving as the trusted marketplace intermediary</w:t>
            </w:r>
          </w:p>
        </w:tc>
      </w:tr>
    </w:tbl>
    <w:p w14:paraId="79F6994B" w14:textId="77777777" w:rsidR="008B6C73" w:rsidRDefault="008B6C73">
      <w:pPr>
        <w:spacing w:after="30"/>
      </w:pPr>
    </w:p>
    <w:p w14:paraId="0463D620" w14:textId="13A1A29C" w:rsidR="008B6C73" w:rsidRDefault="008B6C73"/>
    <w:sectPr w:rsidR="008B6C73">
      <w:pgSz w:w="12240" w:h="15840"/>
      <w:pgMar w:top="500" w:right="600" w:bottom="500" w:left="6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5C87D26"/>
    <w:multiLevelType w:val="hybridMultilevel"/>
    <w:tmpl w:val="E0E8E45E"/>
    <w:lvl w:ilvl="0" w:tplc="88128A0C">
      <w:start w:val="1"/>
      <w:numFmt w:val="bullet"/>
      <w:lvlText w:val="●"/>
      <w:lvlJc w:val="left"/>
      <w:pPr>
        <w:ind w:left="720" w:hanging="360"/>
      </w:pPr>
    </w:lvl>
    <w:lvl w:ilvl="1" w:tplc="768A1AAC">
      <w:start w:val="1"/>
      <w:numFmt w:val="bullet"/>
      <w:lvlText w:val="○"/>
      <w:lvlJc w:val="left"/>
      <w:pPr>
        <w:ind w:left="1440" w:hanging="360"/>
      </w:pPr>
    </w:lvl>
    <w:lvl w:ilvl="2" w:tplc="B6D0F082">
      <w:start w:val="1"/>
      <w:numFmt w:val="bullet"/>
      <w:lvlText w:val="■"/>
      <w:lvlJc w:val="left"/>
      <w:pPr>
        <w:ind w:left="2160" w:hanging="360"/>
      </w:pPr>
    </w:lvl>
    <w:lvl w:ilvl="3" w:tplc="5DCE2D70">
      <w:start w:val="1"/>
      <w:numFmt w:val="bullet"/>
      <w:lvlText w:val="●"/>
      <w:lvlJc w:val="left"/>
      <w:pPr>
        <w:ind w:left="2880" w:hanging="360"/>
      </w:pPr>
    </w:lvl>
    <w:lvl w:ilvl="4" w:tplc="8AEE3AE0">
      <w:start w:val="1"/>
      <w:numFmt w:val="bullet"/>
      <w:lvlText w:val="○"/>
      <w:lvlJc w:val="left"/>
      <w:pPr>
        <w:ind w:left="3600" w:hanging="360"/>
      </w:pPr>
    </w:lvl>
    <w:lvl w:ilvl="5" w:tplc="07F21F5A">
      <w:start w:val="1"/>
      <w:numFmt w:val="bullet"/>
      <w:lvlText w:val="■"/>
      <w:lvlJc w:val="left"/>
      <w:pPr>
        <w:ind w:left="4320" w:hanging="360"/>
      </w:pPr>
    </w:lvl>
    <w:lvl w:ilvl="6" w:tplc="033EBC74">
      <w:start w:val="1"/>
      <w:numFmt w:val="bullet"/>
      <w:lvlText w:val="●"/>
      <w:lvlJc w:val="left"/>
      <w:pPr>
        <w:ind w:left="5040" w:hanging="360"/>
      </w:pPr>
    </w:lvl>
    <w:lvl w:ilvl="7" w:tplc="551EE14E">
      <w:start w:val="1"/>
      <w:numFmt w:val="bullet"/>
      <w:lvlText w:val="●"/>
      <w:lvlJc w:val="left"/>
      <w:pPr>
        <w:ind w:left="5760" w:hanging="360"/>
      </w:pPr>
    </w:lvl>
    <w:lvl w:ilvl="8" w:tplc="22A6AA80">
      <w:start w:val="1"/>
      <w:numFmt w:val="bullet"/>
      <w:lvlText w:val="●"/>
      <w:lvlJc w:val="left"/>
      <w:pPr>
        <w:ind w:left="6480" w:hanging="360"/>
      </w:pPr>
    </w:lvl>
  </w:abstractNum>
  <w:num w:numId="1" w16cid:durableId="129768721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1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6C73"/>
    <w:rsid w:val="0005253A"/>
    <w:rsid w:val="000B5DC1"/>
    <w:rsid w:val="003B232E"/>
    <w:rsid w:val="003B72B5"/>
    <w:rsid w:val="005A46B9"/>
    <w:rsid w:val="00791327"/>
    <w:rsid w:val="008B6C73"/>
    <w:rsid w:val="00A71799"/>
    <w:rsid w:val="00AF4BAC"/>
    <w:rsid w:val="00D92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C5C03BD"/>
  <w15:docId w15:val="{DF4EEE37-1579-7F42-99F4-150BE56A5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633</Words>
  <Characters>3612</Characters>
  <Application>Microsoft Office Word</Application>
  <DocSecurity>0</DocSecurity>
  <Lines>30</Lines>
  <Paragraphs>8</Paragraphs>
  <ScaleCrop>false</ScaleCrop>
  <Company/>
  <LinksUpToDate>false</LinksUpToDate>
  <CharactersWithSpaces>4237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nkd2128</cp:lastModifiedBy>
  <cp:revision>2</cp:revision>
  <dcterms:created xsi:type="dcterms:W3CDTF">2026-07-11T01:08:00Z</dcterms:created>
  <dcterms:modified xsi:type="dcterms:W3CDTF">2026-07-11T01:08:00Z</dcterms:modified>
</cp:coreProperties>
</file>