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1D7B7F" w14:textId="3D2DE6BD" w:rsidR="008B6C73" w:rsidRDefault="008B6C73"/>
    <w:tbl>
      <w:tblP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70"/>
      </w:tblGrid>
      <w:tr w:rsidR="008B6C73" w14:paraId="132783BF" w14:textId="77777777" w:rsidTr="00A76E13">
        <w:tc>
          <w:tcPr>
            <w:tcW w:w="11070" w:type="dxa"/>
            <w:tcBorders>
              <w:top w:val="none" w:sz="0" w:space="0" w:color="FFFFFF"/>
              <w:left w:val="none" w:sz="0" w:space="0" w:color="FFFFFF"/>
              <w:bottom w:val="none" w:sz="0" w:space="0" w:color="FFFFFF"/>
              <w:right w:val="none" w:sz="0" w:space="0" w:color="FFFFFF"/>
            </w:tcBorders>
            <w:shd w:val="clear" w:color="auto" w:fill="1B3A5C"/>
            <w:tcMar>
              <w:top w:w="50" w:type="dxa"/>
              <w:left w:w="160" w:type="dxa"/>
              <w:bottom w:w="20" w:type="dxa"/>
              <w:right w:w="160" w:type="dxa"/>
            </w:tcMar>
          </w:tcPr>
          <w:p w14:paraId="25178A75" w14:textId="77777777" w:rsidR="008B6C73" w:rsidRDefault="00000000">
            <w:r>
              <w:rPr>
                <w:rFonts w:ascii="Calibri" w:eastAsia="Calibri" w:hAnsi="Calibri" w:cs="Calibri"/>
                <w:b/>
                <w:bCs/>
                <w:color w:val="BBCFCC"/>
                <w:sz w:val="13"/>
                <w:szCs w:val="13"/>
              </w:rPr>
              <w:t xml:space="preserve">PATHWAY </w:t>
            </w:r>
            <w:proofErr w:type="gramStart"/>
            <w:r>
              <w:rPr>
                <w:rFonts w:ascii="Calibri" w:eastAsia="Calibri" w:hAnsi="Calibri" w:cs="Calibri"/>
                <w:b/>
                <w:bCs/>
                <w:color w:val="BBCFCC"/>
                <w:sz w:val="13"/>
                <w:szCs w:val="13"/>
              </w:rPr>
              <w:t>1.4  ·</w:t>
            </w:r>
            <w:proofErr w:type="gramEnd"/>
            <w:r>
              <w:rPr>
                <w:rFonts w:ascii="Calibri" w:eastAsia="Calibri" w:hAnsi="Calibri" w:cs="Calibri"/>
                <w:b/>
                <w:bCs/>
                <w:color w:val="BBCFCC"/>
                <w:sz w:val="13"/>
                <w:szCs w:val="13"/>
              </w:rPr>
              <w:t xml:space="preserve">  UNIVERSAL PATHWAY — TENANT PROTECTION &amp; EDUCATION</w:t>
            </w:r>
          </w:p>
        </w:tc>
      </w:tr>
      <w:tr w:rsidR="008B6C73" w14:paraId="10051ED8" w14:textId="77777777" w:rsidTr="00A76E13">
        <w:tc>
          <w:tcPr>
            <w:tcW w:w="11070" w:type="dxa"/>
            <w:tcBorders>
              <w:top w:val="none" w:sz="0" w:space="0" w:color="FFFFFF"/>
              <w:left w:val="none" w:sz="0" w:space="0" w:color="FFFFFF"/>
              <w:bottom w:val="none" w:sz="0" w:space="0" w:color="FFFFFF"/>
              <w:right w:val="none" w:sz="0" w:space="0" w:color="FFFFFF"/>
            </w:tcBorders>
            <w:shd w:val="clear" w:color="auto" w:fill="1B3A5C"/>
            <w:tcMar>
              <w:top w:w="20" w:type="dxa"/>
              <w:left w:w="160" w:type="dxa"/>
              <w:bottom w:w="10" w:type="dxa"/>
              <w:right w:w="160" w:type="dxa"/>
            </w:tcMar>
          </w:tcPr>
          <w:p w14:paraId="6DF5F6AC" w14:textId="77777777" w:rsidR="008B6C73" w:rsidRPr="00A76E13" w:rsidRDefault="00000000">
            <w:pPr>
              <w:rPr>
                <w:sz w:val="40"/>
                <w:szCs w:val="40"/>
              </w:rPr>
            </w:pPr>
            <w:r w:rsidRPr="00A76E13">
              <w:rPr>
                <w:rFonts w:ascii="Calibri" w:eastAsia="Calibri" w:hAnsi="Calibri" w:cs="Calibri"/>
                <w:b/>
                <w:bCs/>
                <w:color w:val="FFFFFF"/>
                <w:sz w:val="40"/>
                <w:szCs w:val="40"/>
              </w:rPr>
              <w:t>Tenant Protection Plan (TPP)</w:t>
            </w:r>
          </w:p>
        </w:tc>
      </w:tr>
      <w:tr w:rsidR="008B6C73" w14:paraId="6BD2E775" w14:textId="77777777" w:rsidTr="00A76E13">
        <w:tc>
          <w:tcPr>
            <w:tcW w:w="11070" w:type="dxa"/>
            <w:tcBorders>
              <w:top w:val="none" w:sz="0" w:space="0" w:color="FFFFFF"/>
              <w:left w:val="none" w:sz="0" w:space="0" w:color="FFFFFF"/>
              <w:bottom w:val="none" w:sz="0" w:space="0" w:color="FFFFFF"/>
              <w:right w:val="none" w:sz="0" w:space="0" w:color="FFFFFF"/>
            </w:tcBorders>
            <w:shd w:val="clear" w:color="auto" w:fill="1B3A5C"/>
            <w:tcMar>
              <w:top w:w="4" w:type="dxa"/>
              <w:left w:w="160" w:type="dxa"/>
              <w:bottom w:w="4" w:type="dxa"/>
              <w:right w:w="160" w:type="dxa"/>
            </w:tcMar>
          </w:tcPr>
          <w:p w14:paraId="2F7D0FC6" w14:textId="77777777" w:rsidR="008B6C73" w:rsidRDefault="00000000">
            <w:r>
              <w:rPr>
                <w:rFonts w:ascii="Calibri" w:eastAsia="Calibri" w:hAnsi="Calibri" w:cs="Calibri"/>
                <w:b/>
                <w:bCs/>
                <w:color w:val="D8F0ED"/>
                <w:sz w:val="16"/>
                <w:szCs w:val="16"/>
              </w:rPr>
              <w:t xml:space="preserve">NYC Dept. of </w:t>
            </w:r>
            <w:proofErr w:type="gramStart"/>
            <w:r>
              <w:rPr>
                <w:rFonts w:ascii="Calibri" w:eastAsia="Calibri" w:hAnsi="Calibri" w:cs="Calibri"/>
                <w:b/>
                <w:bCs/>
                <w:color w:val="D8F0ED"/>
                <w:sz w:val="16"/>
                <w:szCs w:val="16"/>
              </w:rPr>
              <w:t>Buildings  ·</w:t>
            </w:r>
            <w:proofErr w:type="gramEnd"/>
            <w:r>
              <w:rPr>
                <w:rFonts w:ascii="Calibri" w:eastAsia="Calibri" w:hAnsi="Calibri" w:cs="Calibri"/>
                <w:b/>
                <w:bCs/>
                <w:color w:val="D8F0ED"/>
                <w:sz w:val="16"/>
                <w:szCs w:val="16"/>
              </w:rPr>
              <w:t xml:space="preserve">  Mayor's Office to Protect </w:t>
            </w:r>
            <w:proofErr w:type="gramStart"/>
            <w:r>
              <w:rPr>
                <w:rFonts w:ascii="Calibri" w:eastAsia="Calibri" w:hAnsi="Calibri" w:cs="Calibri"/>
                <w:b/>
                <w:bCs/>
                <w:color w:val="D8F0ED"/>
                <w:sz w:val="16"/>
                <w:szCs w:val="16"/>
              </w:rPr>
              <w:t>Tenants  ·</w:t>
            </w:r>
            <w:proofErr w:type="gramEnd"/>
            <w:r>
              <w:rPr>
                <w:rFonts w:ascii="Calibri" w:eastAsia="Calibri" w:hAnsi="Calibri" w:cs="Calibri"/>
                <w:b/>
                <w:bCs/>
                <w:color w:val="D8F0ED"/>
                <w:sz w:val="16"/>
                <w:szCs w:val="16"/>
              </w:rPr>
              <w:t xml:space="preserve">  New York City, </w:t>
            </w:r>
            <w:proofErr w:type="gramStart"/>
            <w:r>
              <w:rPr>
                <w:rFonts w:ascii="Calibri" w:eastAsia="Calibri" w:hAnsi="Calibri" w:cs="Calibri"/>
                <w:b/>
                <w:bCs/>
                <w:color w:val="D8F0ED"/>
                <w:sz w:val="16"/>
                <w:szCs w:val="16"/>
              </w:rPr>
              <w:t>NY  ·</w:t>
            </w:r>
            <w:proofErr w:type="gramEnd"/>
            <w:r>
              <w:rPr>
                <w:rFonts w:ascii="Calibri" w:eastAsia="Calibri" w:hAnsi="Calibri" w:cs="Calibri"/>
                <w:b/>
                <w:bCs/>
                <w:color w:val="D8F0ED"/>
                <w:sz w:val="16"/>
                <w:szCs w:val="16"/>
              </w:rPr>
              <w:t xml:space="preserve">  Est. 2020</w:t>
            </w:r>
          </w:p>
        </w:tc>
      </w:tr>
      <w:tr w:rsidR="008B6C73" w14:paraId="3294C3E2" w14:textId="77777777" w:rsidTr="00A76E13">
        <w:trPr>
          <w:trHeight w:val="46"/>
        </w:trPr>
        <w:tc>
          <w:tcPr>
            <w:tcW w:w="11070" w:type="dxa"/>
            <w:tcBorders>
              <w:top w:val="none" w:sz="0" w:space="0" w:color="FFFFFF"/>
              <w:left w:val="none" w:sz="0" w:space="0" w:color="FFFFFF"/>
              <w:bottom w:val="none" w:sz="0" w:space="0" w:color="FFFFFF"/>
              <w:right w:val="none" w:sz="0" w:space="0" w:color="FFFFFF"/>
            </w:tcBorders>
            <w:shd w:val="clear" w:color="auto" w:fill="163151"/>
            <w:tcMar>
              <w:top w:w="40" w:type="dxa"/>
              <w:left w:w="160" w:type="dxa"/>
              <w:bottom w:w="40" w:type="dxa"/>
              <w:right w:w="160" w:type="dxa"/>
            </w:tcMar>
          </w:tcPr>
          <w:p w14:paraId="15066D1E" w14:textId="77777777" w:rsidR="008B6C73" w:rsidRDefault="00000000">
            <w:r>
              <w:rPr>
                <w:rFonts w:ascii="Calibri" w:eastAsia="Calibri" w:hAnsi="Calibri" w:cs="Calibri"/>
                <w:b/>
                <w:bCs/>
                <w:color w:val="AACFE8"/>
                <w:sz w:val="15"/>
                <w:szCs w:val="15"/>
              </w:rPr>
              <w:t xml:space="preserve">Required for All Construction </w:t>
            </w:r>
            <w:proofErr w:type="gramStart"/>
            <w:r>
              <w:rPr>
                <w:rFonts w:ascii="Calibri" w:eastAsia="Calibri" w:hAnsi="Calibri" w:cs="Calibri"/>
                <w:b/>
                <w:bCs/>
                <w:color w:val="AACFE8"/>
                <w:sz w:val="15"/>
                <w:szCs w:val="15"/>
              </w:rPr>
              <w:t>Permits  ·</w:t>
            </w:r>
            <w:proofErr w:type="gramEnd"/>
            <w:r>
              <w:rPr>
                <w:rFonts w:ascii="Calibri" w:eastAsia="Calibri" w:hAnsi="Calibri" w:cs="Calibri"/>
                <w:b/>
                <w:bCs/>
                <w:color w:val="AACFE8"/>
                <w:sz w:val="15"/>
                <w:szCs w:val="15"/>
              </w:rPr>
              <w:t xml:space="preserve">  Heat, Water &amp; Essential Services </w:t>
            </w:r>
            <w:proofErr w:type="gramStart"/>
            <w:r>
              <w:rPr>
                <w:rFonts w:ascii="Calibri" w:eastAsia="Calibri" w:hAnsi="Calibri" w:cs="Calibri"/>
                <w:b/>
                <w:bCs/>
                <w:color w:val="AACFE8"/>
                <w:sz w:val="15"/>
                <w:szCs w:val="15"/>
              </w:rPr>
              <w:t>Protections  ·</w:t>
            </w:r>
            <w:proofErr w:type="gramEnd"/>
            <w:r>
              <w:rPr>
                <w:rFonts w:ascii="Calibri" w:eastAsia="Calibri" w:hAnsi="Calibri" w:cs="Calibri"/>
                <w:b/>
                <w:bCs/>
                <w:color w:val="AACFE8"/>
                <w:sz w:val="15"/>
                <w:szCs w:val="15"/>
              </w:rPr>
              <w:t xml:space="preserve">  No State Legislation Required</w:t>
            </w:r>
          </w:p>
        </w:tc>
      </w:tr>
    </w:tbl>
    <w:p w14:paraId="6848E032"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165DD52D"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4ECDD72C"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49C49A3C" w14:textId="77777777" w:rsidR="008B6C73" w:rsidRDefault="00000000">
            <w:r>
              <w:rPr>
                <w:rFonts w:ascii="Calibri" w:eastAsia="Calibri" w:hAnsi="Calibri" w:cs="Calibri"/>
                <w:b/>
                <w:bCs/>
                <w:color w:val="2C5F8A"/>
                <w:sz w:val="16"/>
                <w:szCs w:val="16"/>
              </w:rPr>
              <w:t>WHAT IS IT?</w:t>
            </w:r>
          </w:p>
        </w:tc>
      </w:tr>
    </w:tbl>
    <w:p w14:paraId="28C7EFF9" w14:textId="77777777" w:rsidR="008B6C73" w:rsidRDefault="008B6C73">
      <w:pPr>
        <w:spacing w:after="25"/>
      </w:pPr>
    </w:p>
    <w:p w14:paraId="194DE805" w14:textId="77777777" w:rsidR="008B6C73" w:rsidRDefault="00000000">
      <w:r>
        <w:rPr>
          <w:rFonts w:ascii="Calibri" w:eastAsia="Calibri" w:hAnsi="Calibri" w:cs="Calibri"/>
          <w:color w:val="1A1A1A"/>
          <w:sz w:val="16"/>
          <w:szCs w:val="16"/>
        </w:rPr>
        <w:t>The Tenant Protection Plan (TPP), implemented in 2020 following 2019 tenant protection legislation, requires building owners to document — before construction begins — how they will maintain a safe environment for residents throughout renovation. Plans must address dust, noise, pest control, and continuity of essential services including heat and water. The TPP is reviewed through the NYC Department of Buildings permit process, embedding tenant protection directly into the construction approval workflow. Executive Order 03 reinforced this framework by revitalizing the Mayor's Office to Protect Tenants and broadening the cross-agency protection agenda. The TPP directly addresses a core problem in multifamily housing: landlords capturing the benefits of building upgrades without adequately protecting tenants from construction disruption. No state legislation was required.</w:t>
      </w:r>
    </w:p>
    <w:p w14:paraId="5CCAC302"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3EFAC0F3"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69A81098"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6F91947F" w14:textId="77777777" w:rsidR="008B6C73" w:rsidRDefault="00000000">
            <w:r>
              <w:rPr>
                <w:rFonts w:ascii="Calibri" w:eastAsia="Calibri" w:hAnsi="Calibri" w:cs="Calibri"/>
                <w:b/>
                <w:bCs/>
                <w:color w:val="2C5F8A"/>
                <w:sz w:val="16"/>
                <w:szCs w:val="16"/>
              </w:rPr>
              <w:t>EVIDENCE HIGHLIGHTS</w:t>
            </w:r>
          </w:p>
        </w:tc>
      </w:tr>
    </w:tbl>
    <w:p w14:paraId="34C90B03" w14:textId="77777777" w:rsidR="008B6C73" w:rsidRDefault="008B6C73">
      <w:pPr>
        <w:spacing w:after="28"/>
      </w:pP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8675"/>
      </w:tblGrid>
      <w:tr w:rsidR="008B6C73" w14:paraId="657892D7"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1FB838AD" w14:textId="77777777" w:rsidR="008B6C73" w:rsidRDefault="00000000">
            <w:r>
              <w:rPr>
                <w:rFonts w:ascii="Calibri" w:eastAsia="Calibri" w:hAnsi="Calibri" w:cs="Calibri"/>
                <w:b/>
                <w:bCs/>
                <w:color w:val="1B3A5C"/>
                <w:sz w:val="16"/>
                <w:szCs w:val="16"/>
              </w:rPr>
              <w:t>Legal Basis</w:t>
            </w:r>
          </w:p>
        </w:tc>
        <w:tc>
          <w:tcPr>
            <w:tcW w:w="867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7962FC5E" w14:textId="77777777" w:rsidR="008B6C73" w:rsidRDefault="00000000">
            <w:r>
              <w:rPr>
                <w:rFonts w:ascii="Calibri" w:eastAsia="Calibri" w:hAnsi="Calibri" w:cs="Calibri"/>
                <w:color w:val="1A1A1A"/>
                <w:sz w:val="16"/>
                <w:szCs w:val="16"/>
              </w:rPr>
              <w:t>NYC Local Law (2019 tenant protection legislation); implemented through NYC Dept. of Buildings permit process effective 2020</w:t>
            </w:r>
          </w:p>
        </w:tc>
      </w:tr>
      <w:tr w:rsidR="008B6C73" w14:paraId="6DD7DD62"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5DA62323" w14:textId="77777777" w:rsidR="008B6C73" w:rsidRDefault="00000000">
            <w:r>
              <w:rPr>
                <w:rFonts w:ascii="Calibri" w:eastAsia="Calibri" w:hAnsi="Calibri" w:cs="Calibri"/>
                <w:b/>
                <w:bCs/>
                <w:color w:val="1B3A5C"/>
                <w:sz w:val="16"/>
                <w:szCs w:val="16"/>
              </w:rPr>
              <w:t>Requirement Scope</w:t>
            </w:r>
          </w:p>
        </w:tc>
        <w:tc>
          <w:tcPr>
            <w:tcW w:w="867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499ED82C" w14:textId="77777777" w:rsidR="008B6C73" w:rsidRDefault="00000000">
            <w:r>
              <w:rPr>
                <w:rFonts w:ascii="Calibri" w:eastAsia="Calibri" w:hAnsi="Calibri" w:cs="Calibri"/>
                <w:color w:val="1A1A1A"/>
                <w:sz w:val="16"/>
                <w:szCs w:val="16"/>
              </w:rPr>
              <w:t>Required for all construction permits in tenant-occupied buildings — owners must submit a TPP before any permitted work begins</w:t>
            </w:r>
          </w:p>
        </w:tc>
      </w:tr>
      <w:tr w:rsidR="008B6C73" w14:paraId="237EA310"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0D54EACC" w14:textId="77777777" w:rsidR="008B6C73" w:rsidRDefault="00000000">
            <w:r>
              <w:rPr>
                <w:rFonts w:ascii="Calibri" w:eastAsia="Calibri" w:hAnsi="Calibri" w:cs="Calibri"/>
                <w:b/>
                <w:bCs/>
                <w:color w:val="1B3A5C"/>
                <w:sz w:val="16"/>
                <w:szCs w:val="16"/>
              </w:rPr>
              <w:t>Plan Contents</w:t>
            </w:r>
          </w:p>
        </w:tc>
        <w:tc>
          <w:tcPr>
            <w:tcW w:w="867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0DC040B2" w14:textId="77777777" w:rsidR="008B6C73" w:rsidRDefault="00000000">
            <w:r>
              <w:rPr>
                <w:rFonts w:ascii="Calibri" w:eastAsia="Calibri" w:hAnsi="Calibri" w:cs="Calibri"/>
                <w:color w:val="1A1A1A"/>
                <w:sz w:val="16"/>
                <w:szCs w:val="16"/>
              </w:rPr>
              <w:t>Owners must document controls for dust, noise, pests, and interruptions to heat, water, and other essential services</w:t>
            </w:r>
          </w:p>
        </w:tc>
      </w:tr>
      <w:tr w:rsidR="008B6C73" w14:paraId="230EB437"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4C4271B5" w14:textId="77777777" w:rsidR="008B6C73" w:rsidRDefault="00000000">
            <w:r>
              <w:rPr>
                <w:rFonts w:ascii="Calibri" w:eastAsia="Calibri" w:hAnsi="Calibri" w:cs="Calibri"/>
                <w:b/>
                <w:bCs/>
                <w:color w:val="1B3A5C"/>
                <w:sz w:val="16"/>
                <w:szCs w:val="16"/>
              </w:rPr>
              <w:t>Enforcement Channel</w:t>
            </w:r>
          </w:p>
        </w:tc>
        <w:tc>
          <w:tcPr>
            <w:tcW w:w="867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2C10FEE0" w14:textId="77777777" w:rsidR="008B6C73" w:rsidRDefault="00000000">
            <w:r>
              <w:rPr>
                <w:rFonts w:ascii="Calibri" w:eastAsia="Calibri" w:hAnsi="Calibri" w:cs="Calibri"/>
                <w:color w:val="1A1A1A"/>
                <w:sz w:val="16"/>
                <w:szCs w:val="16"/>
              </w:rPr>
              <w:t>Reviewed and enforced through the DOB building permit process — embedding tenant protection into standard construction approval workflow</w:t>
            </w:r>
          </w:p>
        </w:tc>
      </w:tr>
      <w:tr w:rsidR="008B6C73" w14:paraId="282B31C9"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0624577C" w14:textId="77777777" w:rsidR="008B6C73" w:rsidRDefault="00000000">
            <w:r>
              <w:rPr>
                <w:rFonts w:ascii="Calibri" w:eastAsia="Calibri" w:hAnsi="Calibri" w:cs="Calibri"/>
                <w:b/>
                <w:bCs/>
                <w:color w:val="1B3A5C"/>
                <w:sz w:val="16"/>
                <w:szCs w:val="16"/>
              </w:rPr>
              <w:t>Enabling Authority</w:t>
            </w:r>
          </w:p>
        </w:tc>
        <w:tc>
          <w:tcPr>
            <w:tcW w:w="867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3B3CD7AF" w14:textId="77777777" w:rsidR="008B6C73" w:rsidRDefault="00000000">
            <w:r>
              <w:rPr>
                <w:rFonts w:ascii="Calibri" w:eastAsia="Calibri" w:hAnsi="Calibri" w:cs="Calibri"/>
                <w:color w:val="1A1A1A"/>
                <w:sz w:val="16"/>
                <w:szCs w:val="16"/>
              </w:rPr>
              <w:t>Mayor's Office to Protect Tenants (est. 2019); Executive Order 03 reinforced cross-agency coordination — no state law required</w:t>
            </w:r>
          </w:p>
        </w:tc>
      </w:tr>
      <w:tr w:rsidR="008B6C73" w14:paraId="29100CCC"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1C21C45D" w14:textId="77777777" w:rsidR="008B6C73" w:rsidRDefault="00000000">
            <w:r>
              <w:rPr>
                <w:rFonts w:ascii="Calibri" w:eastAsia="Calibri" w:hAnsi="Calibri" w:cs="Calibri"/>
                <w:b/>
                <w:bCs/>
                <w:color w:val="1B3A5C"/>
                <w:sz w:val="16"/>
                <w:szCs w:val="16"/>
              </w:rPr>
              <w:t>Formal Metrics</w:t>
            </w:r>
          </w:p>
        </w:tc>
        <w:tc>
          <w:tcPr>
            <w:tcW w:w="867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5676DD2E" w14:textId="77777777" w:rsidR="008B6C73" w:rsidRDefault="00000000">
            <w:r>
              <w:rPr>
                <w:rFonts w:ascii="Calibri" w:eastAsia="Calibri" w:hAnsi="Calibri" w:cs="Calibri"/>
                <w:color w:val="1A1A1A"/>
                <w:sz w:val="16"/>
                <w:szCs w:val="16"/>
              </w:rPr>
              <w:t>No published quantitative evaluation; City materials state TPPs are designed to 'avoid or limit service disruptions and lessen the negative impacts of construction'</w:t>
            </w:r>
          </w:p>
        </w:tc>
      </w:tr>
      <w:tr w:rsidR="008B6C73" w14:paraId="6578778C" w14:textId="77777777" w:rsidTr="003B232E">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67C7B4D7" w14:textId="77777777" w:rsidR="008B6C73" w:rsidRDefault="00000000">
            <w:r>
              <w:rPr>
                <w:rFonts w:ascii="Calibri" w:eastAsia="Calibri" w:hAnsi="Calibri" w:cs="Calibri"/>
                <w:b/>
                <w:bCs/>
                <w:color w:val="1B3A5C"/>
                <w:sz w:val="16"/>
                <w:szCs w:val="16"/>
              </w:rPr>
              <w:t>Broader Evidence</w:t>
            </w:r>
          </w:p>
        </w:tc>
        <w:tc>
          <w:tcPr>
            <w:tcW w:w="867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737187ED" w14:textId="77777777" w:rsidR="008B6C73" w:rsidRDefault="00000000">
            <w:r>
              <w:rPr>
                <w:rFonts w:ascii="Calibri" w:eastAsia="Calibri" w:hAnsi="Calibri" w:cs="Calibri"/>
                <w:color w:val="1A1A1A"/>
                <w:sz w:val="16"/>
                <w:szCs w:val="16"/>
              </w:rPr>
              <w:t>Research and policy literature treat housing code enforcement and tenant protections as core tools for improving housing quality and sustaining safe rental conditions</w:t>
            </w:r>
          </w:p>
        </w:tc>
      </w:tr>
      <w:tr w:rsidR="008B6C73" w14:paraId="0100B39D" w14:textId="77777777" w:rsidTr="00A76E13">
        <w:trPr>
          <w:trHeight w:val="92"/>
        </w:trPr>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598F17CA" w14:textId="77777777" w:rsidR="008B6C73" w:rsidRDefault="00000000">
            <w:r>
              <w:rPr>
                <w:rFonts w:ascii="Calibri" w:eastAsia="Calibri" w:hAnsi="Calibri" w:cs="Calibri"/>
                <w:b/>
                <w:bCs/>
                <w:color w:val="1B3A5C"/>
                <w:sz w:val="16"/>
                <w:szCs w:val="16"/>
              </w:rPr>
              <w:t>Key Partners</w:t>
            </w:r>
          </w:p>
        </w:tc>
        <w:tc>
          <w:tcPr>
            <w:tcW w:w="867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619089BB" w14:textId="77777777" w:rsidR="008B6C73" w:rsidRDefault="00000000">
            <w:r>
              <w:rPr>
                <w:rFonts w:ascii="Calibri" w:eastAsia="Calibri" w:hAnsi="Calibri" w:cs="Calibri"/>
                <w:color w:val="1A1A1A"/>
                <w:sz w:val="16"/>
                <w:szCs w:val="16"/>
              </w:rPr>
              <w:t>NYC Dept. of Buildings, Mayor's Office to Protect Tenants, tenant advocacy organizations, legal aid providers</w:t>
            </w:r>
          </w:p>
        </w:tc>
      </w:tr>
    </w:tbl>
    <w:p w14:paraId="12F73800"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62064D8E"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312C00B0"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0023371F" w14:textId="77777777" w:rsidR="008B6C73" w:rsidRDefault="00000000">
            <w:r>
              <w:rPr>
                <w:rFonts w:ascii="Calibri" w:eastAsia="Calibri" w:hAnsi="Calibri" w:cs="Calibri"/>
                <w:b/>
                <w:bCs/>
                <w:color w:val="2C5F8A"/>
                <w:sz w:val="16"/>
                <w:szCs w:val="16"/>
              </w:rPr>
              <w:t>HOW IT WORKS</w:t>
            </w:r>
          </w:p>
        </w:tc>
      </w:tr>
    </w:tbl>
    <w:p w14:paraId="26DA2601" w14:textId="77777777" w:rsidR="008B6C73" w:rsidRDefault="008B6C73">
      <w:pPr>
        <w:spacing w:after="28"/>
      </w:pP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35"/>
        <w:gridCol w:w="5940"/>
      </w:tblGrid>
      <w:tr w:rsidR="008B6C73" w14:paraId="4ACCF41F" w14:textId="77777777" w:rsidTr="003B232E">
        <w:tc>
          <w:tcPr>
            <w:tcW w:w="5035" w:type="dxa"/>
            <w:tcBorders>
              <w:top w:val="single" w:sz="4" w:space="0" w:color="C0D6EA"/>
              <w:left w:val="single" w:sz="4" w:space="0" w:color="C0D6EA"/>
              <w:bottom w:val="single" w:sz="4" w:space="0" w:color="C0D6EA"/>
              <w:right w:val="single" w:sz="4" w:space="0" w:color="C0D6EA"/>
            </w:tcBorders>
            <w:shd w:val="clear" w:color="auto" w:fill="EDF4FC"/>
            <w:tcMar>
              <w:top w:w="60" w:type="dxa"/>
              <w:left w:w="110" w:type="dxa"/>
              <w:bottom w:w="65" w:type="dxa"/>
              <w:right w:w="110" w:type="dxa"/>
            </w:tcMar>
          </w:tcPr>
          <w:p w14:paraId="19F0C3A4" w14:textId="77777777" w:rsidR="008B6C73" w:rsidRDefault="00000000">
            <w:pPr>
              <w:spacing w:after="30"/>
            </w:pPr>
            <w:r>
              <w:rPr>
                <w:rFonts w:ascii="Calibri" w:eastAsia="Calibri" w:hAnsi="Calibri" w:cs="Calibri"/>
                <w:b/>
                <w:bCs/>
                <w:color w:val="2C5F8A"/>
                <w:sz w:val="16"/>
                <w:szCs w:val="16"/>
              </w:rPr>
              <w:t>① Mandatory Pre-Construction Submission</w:t>
            </w:r>
          </w:p>
          <w:p w14:paraId="448E24CC" w14:textId="77777777" w:rsidR="008B6C73" w:rsidRDefault="00000000">
            <w:r>
              <w:rPr>
                <w:rFonts w:ascii="Calibri" w:eastAsia="Calibri" w:hAnsi="Calibri" w:cs="Calibri"/>
                <w:color w:val="1A1A1A"/>
                <w:sz w:val="16"/>
                <w:szCs w:val="16"/>
              </w:rPr>
              <w:t>Before any permitted construction begins in a tenant-occupied building, the owner must submit a Tenant Protection Plan to DOB. This makes tenant-impact planning a prerequisite for permit approval.</w:t>
            </w:r>
          </w:p>
        </w:tc>
        <w:tc>
          <w:tcPr>
            <w:tcW w:w="5940" w:type="dxa"/>
            <w:tcBorders>
              <w:top w:val="single" w:sz="4" w:space="0" w:color="C0D6EA"/>
              <w:left w:val="single" w:sz="4" w:space="0" w:color="C0D6EA"/>
              <w:bottom w:val="single" w:sz="4" w:space="0" w:color="C0D6EA"/>
              <w:right w:val="single" w:sz="4" w:space="0" w:color="C0D6EA"/>
            </w:tcBorders>
            <w:shd w:val="clear" w:color="auto" w:fill="F5F8FC"/>
            <w:tcMar>
              <w:top w:w="60" w:type="dxa"/>
              <w:left w:w="110" w:type="dxa"/>
              <w:bottom w:w="65" w:type="dxa"/>
              <w:right w:w="110" w:type="dxa"/>
            </w:tcMar>
          </w:tcPr>
          <w:p w14:paraId="1C26851F" w14:textId="77777777" w:rsidR="008B6C73" w:rsidRDefault="00000000">
            <w:pPr>
              <w:spacing w:after="30"/>
            </w:pPr>
            <w:r>
              <w:rPr>
                <w:rFonts w:ascii="Calibri" w:eastAsia="Calibri" w:hAnsi="Calibri" w:cs="Calibri"/>
                <w:b/>
                <w:bCs/>
                <w:color w:val="2C5F8A"/>
                <w:sz w:val="16"/>
                <w:szCs w:val="16"/>
              </w:rPr>
              <w:t>② Plan Review via DOB Permit Process</w:t>
            </w:r>
          </w:p>
          <w:p w14:paraId="0CCDB607" w14:textId="77777777" w:rsidR="008B6C73" w:rsidRDefault="00000000">
            <w:r>
              <w:rPr>
                <w:rFonts w:ascii="Calibri" w:eastAsia="Calibri" w:hAnsi="Calibri" w:cs="Calibri"/>
                <w:color w:val="1A1A1A"/>
                <w:sz w:val="16"/>
                <w:szCs w:val="16"/>
              </w:rPr>
              <w:t>The TPP is reviewed as part of the standard building permit process, ensuring consistent application across all covered projects using existing administrative authority already in place.</w:t>
            </w:r>
          </w:p>
        </w:tc>
      </w:tr>
      <w:tr w:rsidR="008B6C73" w14:paraId="2A4E4509" w14:textId="77777777" w:rsidTr="003B232E">
        <w:tc>
          <w:tcPr>
            <w:tcW w:w="5035" w:type="dxa"/>
            <w:tcBorders>
              <w:top w:val="single" w:sz="4" w:space="0" w:color="C0D6EA"/>
              <w:left w:val="single" w:sz="4" w:space="0" w:color="C0D6EA"/>
              <w:bottom w:val="single" w:sz="4" w:space="0" w:color="C0D6EA"/>
              <w:right w:val="single" w:sz="4" w:space="0" w:color="C0D6EA"/>
            </w:tcBorders>
            <w:shd w:val="clear" w:color="auto" w:fill="F5F8FC"/>
            <w:tcMar>
              <w:top w:w="60" w:type="dxa"/>
              <w:left w:w="110" w:type="dxa"/>
              <w:bottom w:w="65" w:type="dxa"/>
              <w:right w:w="110" w:type="dxa"/>
            </w:tcMar>
          </w:tcPr>
          <w:p w14:paraId="33BE3157" w14:textId="77777777" w:rsidR="008B6C73" w:rsidRDefault="00000000">
            <w:pPr>
              <w:spacing w:after="30"/>
            </w:pPr>
            <w:r>
              <w:rPr>
                <w:rFonts w:ascii="Calibri" w:eastAsia="Calibri" w:hAnsi="Calibri" w:cs="Calibri"/>
                <w:b/>
                <w:bCs/>
                <w:color w:val="2C5F8A"/>
                <w:sz w:val="16"/>
                <w:szCs w:val="16"/>
              </w:rPr>
              <w:t>③ Essential Services &amp; Habitability Requirements</w:t>
            </w:r>
          </w:p>
          <w:p w14:paraId="2277958C" w14:textId="77777777" w:rsidR="008B6C73" w:rsidRDefault="00000000">
            <w:r>
              <w:rPr>
                <w:rFonts w:ascii="Calibri" w:eastAsia="Calibri" w:hAnsi="Calibri" w:cs="Calibri"/>
                <w:color w:val="1A1A1A"/>
                <w:sz w:val="16"/>
                <w:szCs w:val="16"/>
              </w:rPr>
              <w:t>Plans must address how owners will maintain heat, hot water, and other essential services; control dust, noise, and pests; and manage access and egress throughout construction.</w:t>
            </w:r>
          </w:p>
        </w:tc>
        <w:tc>
          <w:tcPr>
            <w:tcW w:w="5940" w:type="dxa"/>
            <w:tcBorders>
              <w:top w:val="single" w:sz="4" w:space="0" w:color="C0D6EA"/>
              <w:left w:val="single" w:sz="4" w:space="0" w:color="C0D6EA"/>
              <w:bottom w:val="single" w:sz="4" w:space="0" w:color="C0D6EA"/>
              <w:right w:val="single" w:sz="4" w:space="0" w:color="C0D6EA"/>
            </w:tcBorders>
            <w:shd w:val="clear" w:color="auto" w:fill="EDF4FC"/>
            <w:tcMar>
              <w:top w:w="60" w:type="dxa"/>
              <w:left w:w="110" w:type="dxa"/>
              <w:bottom w:w="65" w:type="dxa"/>
              <w:right w:w="110" w:type="dxa"/>
            </w:tcMar>
          </w:tcPr>
          <w:p w14:paraId="60B0E583" w14:textId="77777777" w:rsidR="008B6C73" w:rsidRDefault="00000000">
            <w:pPr>
              <w:spacing w:after="30"/>
            </w:pPr>
            <w:r>
              <w:rPr>
                <w:rFonts w:ascii="Calibri" w:eastAsia="Calibri" w:hAnsi="Calibri" w:cs="Calibri"/>
                <w:b/>
                <w:bCs/>
                <w:color w:val="2C5F8A"/>
                <w:sz w:val="16"/>
                <w:szCs w:val="16"/>
              </w:rPr>
              <w:t>④ Cross-Agency Enforcement &amp; Tenant Advocacy</w:t>
            </w:r>
          </w:p>
          <w:p w14:paraId="7D61C1A1" w14:textId="77777777" w:rsidR="008B6C73" w:rsidRDefault="00000000">
            <w:r>
              <w:rPr>
                <w:rFonts w:ascii="Calibri" w:eastAsia="Calibri" w:hAnsi="Calibri" w:cs="Calibri"/>
                <w:color w:val="1A1A1A"/>
                <w:sz w:val="16"/>
                <w:szCs w:val="16"/>
              </w:rPr>
              <w:t>Executive Order 03 revitalized the Mayor's Office to Protect Tenants, creating a cross-agency coordination body. Tenant advocacy organizations and legal aid providers support residents in understanding their rights.</w:t>
            </w:r>
          </w:p>
        </w:tc>
      </w:tr>
    </w:tbl>
    <w:p w14:paraId="17BB3460"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5885A591"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03D51302"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2046D5D2" w14:textId="77777777" w:rsidR="008B6C73" w:rsidRDefault="00000000">
            <w:r>
              <w:rPr>
                <w:rFonts w:ascii="Calibri" w:eastAsia="Calibri" w:hAnsi="Calibri" w:cs="Calibri"/>
                <w:b/>
                <w:bCs/>
                <w:color w:val="2C5F8A"/>
                <w:sz w:val="16"/>
                <w:szCs w:val="16"/>
              </w:rPr>
              <w:t>ENABLING CONDITIONS &amp; REPLICATION</w:t>
            </w:r>
          </w:p>
        </w:tc>
      </w:tr>
    </w:tbl>
    <w:p w14:paraId="1A2D8212" w14:textId="77777777" w:rsidR="008B6C73" w:rsidRDefault="008B6C73">
      <w:pPr>
        <w:spacing w:after="28"/>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45"/>
        <w:gridCol w:w="5940"/>
      </w:tblGrid>
      <w:tr w:rsidR="008B6C73" w14:paraId="0D758DDB" w14:textId="77777777" w:rsidTr="003B232E">
        <w:tc>
          <w:tcPr>
            <w:tcW w:w="4945" w:type="dxa"/>
            <w:tcBorders>
              <w:top w:val="single" w:sz="4" w:space="0" w:color="C0D6EA"/>
              <w:left w:val="single" w:sz="4" w:space="0" w:color="C0D6EA"/>
              <w:bottom w:val="single" w:sz="4" w:space="0" w:color="C0D6EA"/>
              <w:right w:val="single" w:sz="4" w:space="0" w:color="C0D6EA"/>
            </w:tcBorders>
            <w:shd w:val="clear" w:color="auto" w:fill="2C5F8A"/>
            <w:tcMar>
              <w:top w:w="60" w:type="dxa"/>
              <w:left w:w="110" w:type="dxa"/>
              <w:bottom w:w="60" w:type="dxa"/>
              <w:right w:w="110" w:type="dxa"/>
            </w:tcMar>
          </w:tcPr>
          <w:p w14:paraId="5EE3B093" w14:textId="77777777" w:rsidR="008B6C73" w:rsidRDefault="00000000">
            <w:r>
              <w:rPr>
                <w:rFonts w:ascii="Calibri" w:eastAsia="Calibri" w:hAnsi="Calibri" w:cs="Calibri"/>
                <w:b/>
                <w:bCs/>
                <w:color w:val="FFFFFF"/>
                <w:sz w:val="16"/>
                <w:szCs w:val="16"/>
              </w:rPr>
              <w:t>What Made It Possible</w:t>
            </w:r>
          </w:p>
        </w:tc>
        <w:tc>
          <w:tcPr>
            <w:tcW w:w="5940" w:type="dxa"/>
            <w:tcBorders>
              <w:top w:val="single" w:sz="4" w:space="0" w:color="C0D6EA"/>
              <w:left w:val="single" w:sz="4" w:space="0" w:color="C0D6EA"/>
              <w:bottom w:val="single" w:sz="4" w:space="0" w:color="C0D6EA"/>
              <w:right w:val="single" w:sz="4" w:space="0" w:color="C0D6EA"/>
            </w:tcBorders>
            <w:shd w:val="clear" w:color="auto" w:fill="2C5F8A"/>
            <w:tcMar>
              <w:top w:w="60" w:type="dxa"/>
              <w:left w:w="110" w:type="dxa"/>
              <w:bottom w:w="60" w:type="dxa"/>
              <w:right w:w="110" w:type="dxa"/>
            </w:tcMar>
          </w:tcPr>
          <w:p w14:paraId="5FF9CE8B" w14:textId="77777777" w:rsidR="008B6C73" w:rsidRDefault="00000000">
            <w:r>
              <w:rPr>
                <w:rFonts w:ascii="Calibri" w:eastAsia="Calibri" w:hAnsi="Calibri" w:cs="Calibri"/>
                <w:b/>
                <w:bCs/>
                <w:color w:val="FFFFFF"/>
                <w:sz w:val="16"/>
                <w:szCs w:val="16"/>
              </w:rPr>
              <w:t>Who Can Replicate This</w:t>
            </w:r>
          </w:p>
        </w:tc>
      </w:tr>
      <w:tr w:rsidR="008B6C73" w14:paraId="2699CB08" w14:textId="77777777" w:rsidTr="003B232E">
        <w:tc>
          <w:tcPr>
            <w:tcW w:w="494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71CFB87D" w14:textId="77777777" w:rsidR="008B6C73" w:rsidRDefault="00000000">
            <w:r>
              <w:rPr>
                <w:rFonts w:ascii="Calibri" w:eastAsia="Calibri" w:hAnsi="Calibri" w:cs="Calibri"/>
                <w:color w:val="1A1A1A"/>
                <w:sz w:val="16"/>
                <w:szCs w:val="16"/>
              </w:rPr>
              <w:t>2019 tenant protection legislation and NYC building code authority provided the legal foundation — no state enabling statute required</w:t>
            </w:r>
          </w:p>
        </w:tc>
        <w:tc>
          <w:tcPr>
            <w:tcW w:w="594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48E57A83" w14:textId="77777777" w:rsidR="008B6C73" w:rsidRDefault="00000000">
            <w:r>
              <w:rPr>
                <w:rFonts w:ascii="Calibri" w:eastAsia="Calibri" w:hAnsi="Calibri" w:cs="Calibri"/>
                <w:color w:val="1A1A1A"/>
                <w:sz w:val="16"/>
                <w:szCs w:val="16"/>
              </w:rPr>
              <w:t>Cities with municipal building code authority can require tenant protection plans through local legislation or administrative action</w:t>
            </w:r>
          </w:p>
        </w:tc>
      </w:tr>
      <w:tr w:rsidR="008B6C73" w14:paraId="4FCC2856" w14:textId="77777777" w:rsidTr="003B232E">
        <w:tc>
          <w:tcPr>
            <w:tcW w:w="494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750ECAC5" w14:textId="77777777" w:rsidR="008B6C73" w:rsidRDefault="00000000">
            <w:r>
              <w:rPr>
                <w:rFonts w:ascii="Calibri" w:eastAsia="Calibri" w:hAnsi="Calibri" w:cs="Calibri"/>
                <w:color w:val="1A1A1A"/>
                <w:sz w:val="16"/>
                <w:szCs w:val="16"/>
              </w:rPr>
              <w:t>Routing TPP review through the existing DOB permit process eliminated the need for a new enforcement agency</w:t>
            </w:r>
          </w:p>
        </w:tc>
        <w:tc>
          <w:tcPr>
            <w:tcW w:w="594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5385D1BD" w14:textId="77777777" w:rsidR="008B6C73" w:rsidRDefault="00000000">
            <w:r>
              <w:rPr>
                <w:rFonts w:ascii="Calibri" w:eastAsia="Calibri" w:hAnsi="Calibri" w:cs="Calibri"/>
                <w:color w:val="1A1A1A"/>
                <w:sz w:val="16"/>
                <w:szCs w:val="16"/>
              </w:rPr>
              <w:t>Cities should embed tenant protection requirements into existing permit and code enforcement workflows</w:t>
            </w:r>
          </w:p>
        </w:tc>
      </w:tr>
      <w:tr w:rsidR="00A76E13" w14:paraId="6A9BC33F" w14:textId="77777777" w:rsidTr="00D64AAA">
        <w:tc>
          <w:tcPr>
            <w:tcW w:w="494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66343B90" w14:textId="25046FA9" w:rsidR="00A76E13" w:rsidRDefault="00A76E13">
            <w:r>
              <w:rPr>
                <w:rFonts w:ascii="Calibri" w:eastAsia="Calibri" w:hAnsi="Calibri" w:cs="Calibri"/>
                <w:color w:val="1A1A1A"/>
                <w:sz w:val="16"/>
                <w:szCs w:val="16"/>
              </w:rPr>
              <w:t>Strong tenant advocacy organizations created the political conditions for mandatory TPP adoption</w:t>
            </w:r>
          </w:p>
        </w:tc>
        <w:tc>
          <w:tcPr>
            <w:tcW w:w="594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7CDDF8B9" w14:textId="4797EBEC" w:rsidR="00A76E13" w:rsidRDefault="00A76E13">
            <w:r>
              <w:rPr>
                <w:rFonts w:ascii="Calibri" w:eastAsia="Calibri" w:hAnsi="Calibri" w:cs="Calibri"/>
                <w:color w:val="1A1A1A"/>
                <w:sz w:val="16"/>
                <w:szCs w:val="16"/>
              </w:rPr>
              <w:t>Cities with active tenant advocacy organizations can leverage those relationships for outreach and political sustainability</w:t>
            </w:r>
          </w:p>
        </w:tc>
      </w:tr>
      <w:tr w:rsidR="00A76E13" w14:paraId="1992F843" w14:textId="77777777" w:rsidTr="00D64AAA">
        <w:tc>
          <w:tcPr>
            <w:tcW w:w="4945"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749E3368" w14:textId="5569B02A" w:rsidR="00A76E13" w:rsidRDefault="00A76E13">
            <w:r>
              <w:rPr>
                <w:rFonts w:ascii="Calibri" w:eastAsia="Calibri" w:hAnsi="Calibri" w:cs="Calibri"/>
                <w:color w:val="1A1A1A"/>
                <w:sz w:val="16"/>
                <w:szCs w:val="16"/>
              </w:rPr>
              <w:t>Executive Order 03 signaled a broader cross-agency tenant-protection agenda across city departments beyond DOB</w:t>
            </w:r>
          </w:p>
        </w:tc>
        <w:tc>
          <w:tcPr>
            <w:tcW w:w="594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74270FB8" w14:textId="2E713D23" w:rsidR="00A76E13" w:rsidRDefault="00A76E13">
            <w:r>
              <w:rPr>
                <w:rFonts w:ascii="Calibri" w:eastAsia="Calibri" w:hAnsi="Calibri" w:cs="Calibri"/>
                <w:color w:val="1A1A1A"/>
                <w:sz w:val="16"/>
                <w:szCs w:val="16"/>
              </w:rPr>
              <w:t>Cities should use executive orders to coordinate tenant protection efforts across housing, buildings, and legal services agencies</w:t>
            </w:r>
          </w:p>
        </w:tc>
      </w:tr>
      <w:tr w:rsidR="00A76E13" w14:paraId="4E167E6A" w14:textId="77777777" w:rsidTr="00D64AAA">
        <w:tc>
          <w:tcPr>
            <w:tcW w:w="4945"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364AE3E7" w14:textId="31009B3F" w:rsidR="00A76E13" w:rsidRDefault="00A76E13">
            <w:r>
              <w:rPr>
                <w:rFonts w:ascii="Calibri" w:eastAsia="Calibri" w:hAnsi="Calibri" w:cs="Calibri"/>
                <w:color w:val="1A1A1A"/>
                <w:sz w:val="16"/>
                <w:szCs w:val="16"/>
              </w:rPr>
              <w:t>The TPP directly addresses landlord benefit-capture: documenting protections before construction prevents renovation as displacement pretext</w:t>
            </w:r>
          </w:p>
        </w:tc>
        <w:tc>
          <w:tcPr>
            <w:tcW w:w="594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7215EC48" w14:textId="507CD962" w:rsidR="00A76E13" w:rsidRDefault="00A76E13">
            <w:r>
              <w:rPr>
                <w:rFonts w:ascii="Calibri" w:eastAsia="Calibri" w:hAnsi="Calibri" w:cs="Calibri"/>
                <w:color w:val="1A1A1A"/>
                <w:sz w:val="16"/>
                <w:szCs w:val="16"/>
              </w:rPr>
              <w:t>Cities where landlord pass-through or construction-related displacement is documented should prioritize mandatory pre-construction tenant protection plans</w:t>
            </w:r>
          </w:p>
        </w:tc>
      </w:tr>
    </w:tbl>
    <w:p w14:paraId="0FEE22FA" w14:textId="77777777" w:rsidR="008B6C73" w:rsidRDefault="008B6C73" w:rsidP="00A76E13">
      <w:pPr>
        <w:spacing w:after="30"/>
      </w:pPr>
    </w:p>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3B232E"/>
    <w:rsid w:val="003B72B5"/>
    <w:rsid w:val="005A46B9"/>
    <w:rsid w:val="00791327"/>
    <w:rsid w:val="008B6C73"/>
    <w:rsid w:val="00A71799"/>
    <w:rsid w:val="00A76E13"/>
    <w:rsid w:val="00D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708</Words>
  <Characters>4037</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2026-07-11T01:06:00Z</dcterms:created>
  <dcterms:modified xsi:type="dcterms:W3CDTF">2026-07-11T01:06:00Z</dcterms:modified>
</cp:coreProperties>
</file>